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32B0C" w14:textId="357D0098" w:rsidR="00EE71C5" w:rsidRPr="00E41D6E" w:rsidRDefault="00EE71C5" w:rsidP="00E41D6E">
      <w:pPr>
        <w:spacing w:before="120" w:after="120" w:line="360" w:lineRule="auto"/>
        <w:ind w:firstLine="567"/>
        <w:jc w:val="center"/>
        <w:rPr>
          <w:rFonts w:cs="Times New Roman"/>
          <w:b/>
          <w:bCs/>
          <w:sz w:val="36"/>
          <w:szCs w:val="36"/>
        </w:rPr>
      </w:pPr>
      <w:r w:rsidRPr="00E41D6E">
        <w:rPr>
          <w:rFonts w:cs="Times New Roman"/>
          <w:b/>
          <w:bCs/>
          <w:sz w:val="36"/>
          <w:szCs w:val="36"/>
        </w:rPr>
        <w:t>MỘT SỐ ĐIỂM MỚI LUẬT THUẾ GTGT 2024</w:t>
      </w:r>
    </w:p>
    <w:p w14:paraId="1610D987" w14:textId="4F490CB4" w:rsidR="00983FB2" w:rsidRPr="00EE71C5" w:rsidRDefault="00983FB2" w:rsidP="00983FB2">
      <w:pPr>
        <w:spacing w:before="120" w:after="120" w:line="360" w:lineRule="auto"/>
        <w:ind w:firstLine="567"/>
        <w:jc w:val="both"/>
        <w:rPr>
          <w:rFonts w:cs="Times New Roman"/>
          <w:sz w:val="24"/>
          <w:szCs w:val="24"/>
        </w:rPr>
      </w:pPr>
      <w:r w:rsidRPr="00EE71C5">
        <w:rPr>
          <w:rFonts w:cs="Times New Roman"/>
          <w:sz w:val="24"/>
          <w:szCs w:val="24"/>
        </w:rPr>
        <w:t>Luật Thuế giá trị gia tăng 2024</w:t>
      </w:r>
      <w:r w:rsidRPr="00E41D6E">
        <w:rPr>
          <w:rFonts w:cs="Times New Roman"/>
          <w:sz w:val="24"/>
          <w:szCs w:val="24"/>
        </w:rPr>
        <w:t>, có hiệu lực từ ngày 01/07/2025,</w:t>
      </w:r>
      <w:r w:rsidRPr="00EE71C5">
        <w:rPr>
          <w:rFonts w:cs="Times New Roman"/>
          <w:sz w:val="24"/>
          <w:szCs w:val="24"/>
        </w:rPr>
        <w:t xml:space="preserve"> </w:t>
      </w:r>
      <w:r w:rsidRPr="00E41D6E">
        <w:rPr>
          <w:rFonts w:cs="Times New Roman"/>
          <w:sz w:val="24"/>
          <w:szCs w:val="24"/>
        </w:rPr>
        <w:t>có một số điểm mới như sau</w:t>
      </w:r>
      <w:r w:rsidRPr="00EE71C5">
        <w:rPr>
          <w:rFonts w:cs="Times New Roman"/>
          <w:sz w:val="24"/>
          <w:szCs w:val="24"/>
        </w:rPr>
        <w:t>:</w:t>
      </w:r>
    </w:p>
    <w:p w14:paraId="788AA730" w14:textId="34760B59" w:rsidR="00EE71C5" w:rsidRPr="00E41D6E" w:rsidRDefault="00EE71C5" w:rsidP="00983FB2">
      <w:pPr>
        <w:pStyle w:val="ListParagraph"/>
        <w:numPr>
          <w:ilvl w:val="0"/>
          <w:numId w:val="6"/>
        </w:numPr>
        <w:spacing w:before="120" w:after="120" w:line="360" w:lineRule="auto"/>
        <w:ind w:left="0" w:firstLine="567"/>
        <w:jc w:val="both"/>
        <w:rPr>
          <w:rFonts w:cs="Times New Roman"/>
          <w:b/>
          <w:bCs/>
          <w:sz w:val="24"/>
          <w:szCs w:val="24"/>
        </w:rPr>
      </w:pPr>
      <w:r w:rsidRPr="00E41D6E">
        <w:rPr>
          <w:rFonts w:cs="Times New Roman"/>
          <w:b/>
          <w:bCs/>
          <w:sz w:val="24"/>
          <w:szCs w:val="24"/>
        </w:rPr>
        <w:t>02 đối tượng không chịu thuế chuyển sang thuế suất 5% từ tháng 07/2025</w:t>
      </w:r>
    </w:p>
    <w:p w14:paraId="5603CA1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Phân bón và tàu khai thác thủy sản tại vùng biển sẽ chuyển từ đối tượng không chịu thuế sang thuế suất 5% theo Luật Thuế giá trị gia tăng 2024 từ ngày 01/07/2025.</w:t>
      </w:r>
    </w:p>
    <w:p w14:paraId="5C137607" w14:textId="75B2376E" w:rsidR="00EE71C5" w:rsidRPr="00E41D6E" w:rsidRDefault="00EE71C5" w:rsidP="00983FB2">
      <w:pPr>
        <w:pStyle w:val="ListParagraph"/>
        <w:numPr>
          <w:ilvl w:val="0"/>
          <w:numId w:val="8"/>
        </w:numPr>
        <w:spacing w:before="120" w:after="120" w:line="360" w:lineRule="auto"/>
        <w:ind w:left="0" w:firstLine="567"/>
        <w:jc w:val="both"/>
        <w:rPr>
          <w:rFonts w:cs="Times New Roman"/>
          <w:sz w:val="24"/>
          <w:szCs w:val="24"/>
        </w:rPr>
      </w:pPr>
      <w:r w:rsidRPr="00E41D6E">
        <w:rPr>
          <w:rFonts w:cs="Times New Roman"/>
          <w:sz w:val="24"/>
          <w:szCs w:val="24"/>
        </w:rPr>
        <w:t>02 đối tượng không chịu thuế chuyển sang thuế suất 5% từ tháng 07/2025</w:t>
      </w:r>
    </w:p>
    <w:p w14:paraId="71A3C6C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Từ ngày 01/07/2025, 02 sản phẩm không chịu thuế chuyển sang áp dụng thuế suất 5% bao gồm:</w:t>
      </w:r>
    </w:p>
    <w:p w14:paraId="330DB12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Phân bón.</w:t>
      </w:r>
    </w:p>
    <w:p w14:paraId="2F51547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Tàu đánh bắt xa bờ.</w:t>
      </w:r>
    </w:p>
    <w:p w14:paraId="5E2267B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Cụ thể như sau:</w:t>
      </w:r>
    </w:p>
    <w:tbl>
      <w:tblPr>
        <w:tblW w:w="0" w:type="auto"/>
        <w:jc w:val="center"/>
        <w:tblCellMar>
          <w:top w:w="75" w:type="dxa"/>
          <w:left w:w="75" w:type="dxa"/>
          <w:bottom w:w="75" w:type="dxa"/>
          <w:right w:w="75" w:type="dxa"/>
        </w:tblCellMar>
        <w:tblLook w:val="04A0" w:firstRow="1" w:lastRow="0" w:firstColumn="1" w:lastColumn="0" w:noHBand="0" w:noVBand="1"/>
      </w:tblPr>
      <w:tblGrid>
        <w:gridCol w:w="1893"/>
        <w:gridCol w:w="4463"/>
        <w:gridCol w:w="2691"/>
      </w:tblGrid>
      <w:tr w:rsidR="00E41D6E" w:rsidRPr="00E41D6E" w14:paraId="0BBBAACD" w14:textId="77777777" w:rsidTr="00983FB2">
        <w:trPr>
          <w:jc w:val="center"/>
        </w:trPr>
        <w:tc>
          <w:tcPr>
            <w:tcW w:w="1893" w:type="dxa"/>
            <w:tcBorders>
              <w:top w:val="single" w:sz="6" w:space="0" w:color="000000"/>
              <w:left w:val="single" w:sz="6" w:space="0" w:color="000000"/>
              <w:bottom w:val="single" w:sz="6" w:space="0" w:color="000000"/>
              <w:right w:val="single" w:sz="6" w:space="0" w:color="000000"/>
            </w:tcBorders>
            <w:hideMark/>
          </w:tcPr>
          <w:p w14:paraId="68F2D04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Nhóm đối tượng</w:t>
            </w:r>
          </w:p>
        </w:tc>
        <w:tc>
          <w:tcPr>
            <w:tcW w:w="4463" w:type="dxa"/>
            <w:tcBorders>
              <w:top w:val="single" w:sz="6" w:space="0" w:color="000000"/>
              <w:left w:val="nil"/>
              <w:bottom w:val="single" w:sz="6" w:space="0" w:color="000000"/>
              <w:right w:val="single" w:sz="6" w:space="0" w:color="000000"/>
            </w:tcBorders>
            <w:hideMark/>
          </w:tcPr>
          <w:p w14:paraId="462DB92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Nhóm không chịu thuế theo Luật Thuế giá trị gia tăng 2008</w:t>
            </w:r>
          </w:p>
        </w:tc>
        <w:tc>
          <w:tcPr>
            <w:tcW w:w="2691" w:type="dxa"/>
            <w:tcBorders>
              <w:top w:val="single" w:sz="6" w:space="0" w:color="000000"/>
              <w:left w:val="nil"/>
              <w:bottom w:val="single" w:sz="6" w:space="0" w:color="000000"/>
              <w:right w:val="single" w:sz="6" w:space="0" w:color="000000"/>
            </w:tcBorders>
            <w:hideMark/>
          </w:tcPr>
          <w:p w14:paraId="6324897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Nhóm thuế suất 5% Theo Luật Thuế giá trị gia tăng 2024</w:t>
            </w:r>
          </w:p>
        </w:tc>
      </w:tr>
      <w:tr w:rsidR="00E41D6E" w:rsidRPr="00E41D6E" w14:paraId="41E612CC" w14:textId="77777777" w:rsidTr="00983FB2">
        <w:trPr>
          <w:jc w:val="center"/>
        </w:trPr>
        <w:tc>
          <w:tcPr>
            <w:tcW w:w="1893" w:type="dxa"/>
            <w:tcBorders>
              <w:top w:val="nil"/>
              <w:left w:val="single" w:sz="6" w:space="0" w:color="000000"/>
              <w:bottom w:val="single" w:sz="6" w:space="0" w:color="000000"/>
              <w:right w:val="single" w:sz="6" w:space="0" w:color="000000"/>
            </w:tcBorders>
            <w:hideMark/>
          </w:tcPr>
          <w:p w14:paraId="39942FE6"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Phân bón</w:t>
            </w:r>
          </w:p>
        </w:tc>
        <w:tc>
          <w:tcPr>
            <w:tcW w:w="4463" w:type="dxa"/>
            <w:tcBorders>
              <w:top w:val="nil"/>
              <w:left w:val="nil"/>
              <w:bottom w:val="single" w:sz="6" w:space="0" w:color="000000"/>
              <w:right w:val="single" w:sz="6" w:space="0" w:color="000000"/>
            </w:tcBorders>
            <w:hideMark/>
          </w:tcPr>
          <w:p w14:paraId="04FE519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CCPL: Khoản 3a Điều 5 </w:t>
            </w:r>
            <w:hyperlink r:id="rId7" w:tgtFrame="_blank" w:history="1">
              <w:r w:rsidRPr="00EE71C5">
                <w:rPr>
                  <w:rStyle w:val="Hyperlink"/>
                  <w:rFonts w:cs="Times New Roman"/>
                  <w:color w:val="auto"/>
                  <w:sz w:val="24"/>
                  <w:szCs w:val="24"/>
                </w:rPr>
                <w:t>Luật Thuế giá trị gia tăng 2008</w:t>
              </w:r>
            </w:hyperlink>
            <w:r w:rsidRPr="00EE71C5">
              <w:rPr>
                <w:rFonts w:cs="Times New Roman"/>
                <w:sz w:val="24"/>
                <w:szCs w:val="24"/>
              </w:rPr>
              <w:t> (được sửa đổi, bổ sung bởi khoản 1 Điều 3 </w:t>
            </w:r>
            <w:hyperlink r:id="rId8" w:tgtFrame="_blank" w:history="1">
              <w:r w:rsidRPr="00EE71C5">
                <w:rPr>
                  <w:rStyle w:val="Hyperlink"/>
                  <w:rFonts w:cs="Times New Roman"/>
                  <w:color w:val="auto"/>
                  <w:sz w:val="24"/>
                  <w:szCs w:val="24"/>
                </w:rPr>
                <w:t>Luật số 71/2014/QH13</w:t>
              </w:r>
            </w:hyperlink>
            <w:r w:rsidRPr="00EE71C5">
              <w:rPr>
                <w:rFonts w:cs="Times New Roman"/>
                <w:sz w:val="24"/>
                <w:szCs w:val="24"/>
              </w:rPr>
              <w:t>):</w:t>
            </w:r>
          </w:p>
          <w:p w14:paraId="2B8CC8D3"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Đối tượng không chịu thuế</w:t>
            </w:r>
          </w:p>
          <w:p w14:paraId="53011E9E"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6D0076AD"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3a. </w:t>
            </w:r>
            <w:r w:rsidRPr="00EE71C5">
              <w:rPr>
                <w:rFonts w:cs="Times New Roman"/>
                <w:b/>
                <w:bCs/>
                <w:i/>
                <w:iCs/>
                <w:sz w:val="24"/>
                <w:szCs w:val="24"/>
              </w:rPr>
              <w:t>Phân bón</w:t>
            </w:r>
            <w:r w:rsidRPr="00EE71C5">
              <w:rPr>
                <w:rFonts w:cs="Times New Roman"/>
                <w:i/>
                <w:iCs/>
                <w:sz w:val="24"/>
                <w:szCs w:val="24"/>
              </w:rPr>
              <w:t>; máy móc, thiết bị chuyên dùng phục vụ cho sản xuất nông nghiệp; tàu đánh bắt xa bờ; thức ăn gia súc, gia cầm và thức ăn cho vật nuôi khác.</w:t>
            </w:r>
          </w:p>
          <w:p w14:paraId="45D5BE89"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tc>
        <w:tc>
          <w:tcPr>
            <w:tcW w:w="2691" w:type="dxa"/>
            <w:tcBorders>
              <w:top w:val="nil"/>
              <w:left w:val="nil"/>
              <w:bottom w:val="single" w:sz="6" w:space="0" w:color="000000"/>
              <w:right w:val="single" w:sz="6" w:space="0" w:color="000000"/>
            </w:tcBorders>
            <w:hideMark/>
          </w:tcPr>
          <w:p w14:paraId="33FB78F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CCPL: Điểm b khoản 2 Điều 9 </w:t>
            </w:r>
            <w:hyperlink r:id="rId9" w:tgtFrame="_blank" w:history="1">
              <w:r w:rsidRPr="00EE71C5">
                <w:rPr>
                  <w:rStyle w:val="Hyperlink"/>
                  <w:rFonts w:cs="Times New Roman"/>
                  <w:color w:val="auto"/>
                  <w:sz w:val="24"/>
                  <w:szCs w:val="24"/>
                </w:rPr>
                <w:t>Luật Thuế giá trị gia tăng 2024</w:t>
              </w:r>
            </w:hyperlink>
          </w:p>
          <w:p w14:paraId="515D7F57"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2. Mức thuế suất 5% áp dụng đối với hàng hóa, dịch vụ sau đây:</w:t>
            </w:r>
          </w:p>
          <w:p w14:paraId="0AEB08FF"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75C4D0B0"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b) Phân bón, quặng để sản xuất phân bón, thuốc bảo vệ thực vật và chất kích thích tăng trưởng vật nuôi theo quy định của pháp luật;</w:t>
            </w:r>
          </w:p>
          <w:p w14:paraId="1A86D6AB"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lastRenderedPageBreak/>
              <w:t>...</w:t>
            </w:r>
          </w:p>
        </w:tc>
      </w:tr>
      <w:tr w:rsidR="00E41D6E" w:rsidRPr="00E41D6E" w14:paraId="3AE446F4" w14:textId="77777777" w:rsidTr="00983FB2">
        <w:trPr>
          <w:jc w:val="center"/>
        </w:trPr>
        <w:tc>
          <w:tcPr>
            <w:tcW w:w="1893" w:type="dxa"/>
            <w:tcBorders>
              <w:top w:val="nil"/>
              <w:left w:val="single" w:sz="6" w:space="0" w:color="000000"/>
              <w:bottom w:val="single" w:sz="6" w:space="0" w:color="000000"/>
              <w:right w:val="single" w:sz="6" w:space="0" w:color="000000"/>
            </w:tcBorders>
            <w:hideMark/>
          </w:tcPr>
          <w:p w14:paraId="326BEA3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Tàu đánh bắt xa bờ</w:t>
            </w:r>
          </w:p>
        </w:tc>
        <w:tc>
          <w:tcPr>
            <w:tcW w:w="4463" w:type="dxa"/>
            <w:tcBorders>
              <w:top w:val="nil"/>
              <w:left w:val="nil"/>
              <w:bottom w:val="single" w:sz="6" w:space="0" w:color="000000"/>
              <w:right w:val="single" w:sz="6" w:space="0" w:color="000000"/>
            </w:tcBorders>
            <w:hideMark/>
          </w:tcPr>
          <w:p w14:paraId="7103F14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Khoản 3a Điều 5 </w:t>
            </w:r>
            <w:hyperlink r:id="rId10" w:tgtFrame="_blank" w:history="1">
              <w:r w:rsidRPr="00EE71C5">
                <w:rPr>
                  <w:rStyle w:val="Hyperlink"/>
                  <w:rFonts w:cs="Times New Roman"/>
                  <w:color w:val="auto"/>
                  <w:sz w:val="24"/>
                  <w:szCs w:val="24"/>
                </w:rPr>
                <w:t>Luật Thuế giá trị gia tăng 2008</w:t>
              </w:r>
            </w:hyperlink>
            <w:r w:rsidRPr="00EE71C5">
              <w:rPr>
                <w:rFonts w:cs="Times New Roman"/>
                <w:sz w:val="24"/>
                <w:szCs w:val="24"/>
              </w:rPr>
              <w:t> (được sửa đổi, bổ sung bởi khoản 1 Điều 3 </w:t>
            </w:r>
            <w:hyperlink r:id="rId11" w:tgtFrame="_blank" w:history="1">
              <w:r w:rsidRPr="00EE71C5">
                <w:rPr>
                  <w:rStyle w:val="Hyperlink"/>
                  <w:rFonts w:cs="Times New Roman"/>
                  <w:color w:val="auto"/>
                  <w:sz w:val="24"/>
                  <w:szCs w:val="24"/>
                </w:rPr>
                <w:t>Luật số 71/2014/QH13</w:t>
              </w:r>
            </w:hyperlink>
            <w:r w:rsidRPr="00EE71C5">
              <w:rPr>
                <w:rFonts w:cs="Times New Roman"/>
                <w:sz w:val="24"/>
                <w:szCs w:val="24"/>
              </w:rPr>
              <w:t>):</w:t>
            </w:r>
          </w:p>
          <w:p w14:paraId="3F4B1ED5"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Đối tượng không chịu thuế</w:t>
            </w:r>
          </w:p>
          <w:p w14:paraId="3FEAB183"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29A8CA27"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3a. Phân bón; máy móc, thiết bị chuyên dùng phục vụ cho sản xuất nông nghiệp; </w:t>
            </w:r>
            <w:r w:rsidRPr="00EE71C5">
              <w:rPr>
                <w:rFonts w:cs="Times New Roman"/>
                <w:b/>
                <w:bCs/>
                <w:i/>
                <w:iCs/>
                <w:sz w:val="24"/>
                <w:szCs w:val="24"/>
              </w:rPr>
              <w:t>tàu đánh bắt xa bờ</w:t>
            </w:r>
            <w:r w:rsidRPr="00EE71C5">
              <w:rPr>
                <w:rFonts w:cs="Times New Roman"/>
                <w:i/>
                <w:iCs/>
                <w:sz w:val="24"/>
                <w:szCs w:val="24"/>
              </w:rPr>
              <w:t>; thức ăn gia súc, gia cầm và thức ăn cho vật nuôi khác.</w:t>
            </w:r>
          </w:p>
          <w:p w14:paraId="4B6012A8"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tc>
        <w:tc>
          <w:tcPr>
            <w:tcW w:w="2691" w:type="dxa"/>
            <w:tcBorders>
              <w:top w:val="nil"/>
              <w:left w:val="nil"/>
              <w:bottom w:val="single" w:sz="6" w:space="0" w:color="000000"/>
              <w:right w:val="single" w:sz="6" w:space="0" w:color="000000"/>
            </w:tcBorders>
            <w:hideMark/>
          </w:tcPr>
          <w:p w14:paraId="3FB8A4B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Điểm g khoản 2 Điều 9 </w:t>
            </w:r>
            <w:hyperlink r:id="rId12" w:tgtFrame="_blank" w:history="1">
              <w:r w:rsidRPr="00EE71C5">
                <w:rPr>
                  <w:rStyle w:val="Hyperlink"/>
                  <w:rFonts w:cs="Times New Roman"/>
                  <w:color w:val="auto"/>
                  <w:sz w:val="24"/>
                  <w:szCs w:val="24"/>
                </w:rPr>
                <w:t>Luật Thuế giá trị gia tăng 2024</w:t>
              </w:r>
            </w:hyperlink>
          </w:p>
          <w:p w14:paraId="29944A6A"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2. Mức thuế suất 5% áp dụng đối với hàng hóa, dịch vụ sau đây:</w:t>
            </w:r>
          </w:p>
          <w:p w14:paraId="38F78BFD"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0BC24DB1"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 </w:t>
            </w:r>
          </w:p>
          <w:p w14:paraId="382B3E8B"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g) </w:t>
            </w:r>
            <w:r w:rsidRPr="00EE71C5">
              <w:rPr>
                <w:rFonts w:cs="Times New Roman"/>
                <w:b/>
                <w:bCs/>
                <w:i/>
                <w:iCs/>
                <w:sz w:val="24"/>
                <w:szCs w:val="24"/>
              </w:rPr>
              <w:t>Tàu khai thác thủy sản tại vùng biển</w:t>
            </w:r>
            <w:r w:rsidRPr="00EE71C5">
              <w:rPr>
                <w:rFonts w:cs="Times New Roman"/>
                <w:i/>
                <w:iCs/>
                <w:sz w:val="24"/>
                <w:szCs w:val="24"/>
              </w:rPr>
              <w:t>; máy móc, thiết bị chuyên dùng phục vụ cho sản xuất nông nghiệp theo quy định của Chính phủ;</w:t>
            </w:r>
          </w:p>
          <w:p w14:paraId="6E0B19A8"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tc>
      </w:tr>
    </w:tbl>
    <w:p w14:paraId="70F5C286" w14:textId="77777777" w:rsidR="00983FB2" w:rsidRPr="00E41D6E" w:rsidRDefault="00983FB2" w:rsidP="00983FB2">
      <w:pPr>
        <w:pStyle w:val="ListParagraph"/>
        <w:spacing w:before="120" w:after="120" w:line="360" w:lineRule="auto"/>
        <w:ind w:left="0" w:firstLine="567"/>
        <w:jc w:val="both"/>
        <w:rPr>
          <w:rFonts w:cs="Times New Roman"/>
          <w:b/>
          <w:bCs/>
          <w:sz w:val="24"/>
          <w:szCs w:val="24"/>
        </w:rPr>
      </w:pPr>
    </w:p>
    <w:p w14:paraId="038E0B4B" w14:textId="77777777" w:rsidR="00E41D6E" w:rsidRPr="00E41D6E" w:rsidRDefault="00E41D6E" w:rsidP="00983FB2">
      <w:pPr>
        <w:pStyle w:val="ListParagraph"/>
        <w:spacing w:before="120" w:after="120" w:line="360" w:lineRule="auto"/>
        <w:ind w:left="0" w:firstLine="567"/>
        <w:jc w:val="both"/>
        <w:rPr>
          <w:rFonts w:cs="Times New Roman"/>
          <w:b/>
          <w:bCs/>
          <w:sz w:val="24"/>
          <w:szCs w:val="24"/>
        </w:rPr>
      </w:pPr>
    </w:p>
    <w:p w14:paraId="6081C276" w14:textId="77777777" w:rsidR="00E41D6E" w:rsidRPr="00E41D6E" w:rsidRDefault="00E41D6E" w:rsidP="00983FB2">
      <w:pPr>
        <w:pStyle w:val="ListParagraph"/>
        <w:spacing w:before="120" w:after="120" w:line="360" w:lineRule="auto"/>
        <w:ind w:left="0" w:firstLine="567"/>
        <w:jc w:val="both"/>
        <w:rPr>
          <w:rFonts w:cs="Times New Roman"/>
          <w:b/>
          <w:bCs/>
          <w:sz w:val="24"/>
          <w:szCs w:val="24"/>
        </w:rPr>
      </w:pPr>
    </w:p>
    <w:p w14:paraId="674BC6C5" w14:textId="194B1873" w:rsidR="00EE71C5" w:rsidRPr="00E41D6E" w:rsidRDefault="00EE71C5" w:rsidP="00983FB2">
      <w:pPr>
        <w:pStyle w:val="ListParagraph"/>
        <w:numPr>
          <w:ilvl w:val="0"/>
          <w:numId w:val="6"/>
        </w:numPr>
        <w:spacing w:before="120" w:after="120" w:line="360" w:lineRule="auto"/>
        <w:ind w:left="0" w:firstLine="567"/>
        <w:jc w:val="both"/>
        <w:rPr>
          <w:rFonts w:cs="Times New Roman"/>
          <w:b/>
          <w:bCs/>
          <w:sz w:val="24"/>
          <w:szCs w:val="24"/>
        </w:rPr>
      </w:pPr>
      <w:r w:rsidRPr="00E41D6E">
        <w:rPr>
          <w:rFonts w:cs="Times New Roman"/>
          <w:b/>
          <w:bCs/>
          <w:sz w:val="24"/>
          <w:szCs w:val="24"/>
        </w:rPr>
        <w:t xml:space="preserve">Các đối tượng </w:t>
      </w:r>
      <w:r w:rsidRPr="00E41D6E">
        <w:rPr>
          <w:rFonts w:cs="Times New Roman"/>
          <w:b/>
          <w:bCs/>
          <w:sz w:val="24"/>
          <w:szCs w:val="24"/>
        </w:rPr>
        <w:t>áp dụng thuế suất 5% chuyển sang 10% theo Luật Thuế GTGT 2024</w:t>
      </w:r>
    </w:p>
    <w:p w14:paraId="5877C55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Luật Thuế giá trị gia tăng 2024 có hiệu lực từ tháng 07/2025 đã điều chỉnh thuế suất của một số hàng hóa, dịch vụ. Theo đó các sản phẩm sau đây sẽ chuyển từ thuế suất 5% sang 10%.</w:t>
      </w:r>
    </w:p>
    <w:p w14:paraId="5008D6B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 xml:space="preserve">1. </w:t>
      </w:r>
      <w:r w:rsidRPr="00EE71C5">
        <w:rPr>
          <w:rFonts w:cs="Times New Roman"/>
          <w:b/>
          <w:bCs/>
          <w:i/>
          <w:iCs/>
          <w:sz w:val="24"/>
          <w:szCs w:val="24"/>
        </w:rPr>
        <w:t>Các đối tượng áp dụng thuế suất 5% chuyển sang 10% theo Luật Thuế GTGT 2024</w:t>
      </w:r>
    </w:p>
    <w:p w14:paraId="7E22C1B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khoản 2 Điều 9 </w:t>
      </w:r>
      <w:hyperlink r:id="rId13"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và khoản 2 Điều 8 </w:t>
      </w:r>
      <w:hyperlink r:id="rId14" w:tgtFrame="_blank" w:history="1">
        <w:r w:rsidRPr="00EE71C5">
          <w:rPr>
            <w:rStyle w:val="Hyperlink"/>
            <w:rFonts w:cs="Times New Roman"/>
            <w:color w:val="auto"/>
            <w:sz w:val="24"/>
            <w:szCs w:val="24"/>
          </w:rPr>
          <w:t>Luật Thuế giá trị gia tăng 2008</w:t>
        </w:r>
      </w:hyperlink>
      <w:r w:rsidRPr="00EE71C5">
        <w:rPr>
          <w:rFonts w:cs="Times New Roman"/>
          <w:sz w:val="24"/>
          <w:szCs w:val="24"/>
        </w:rPr>
        <w:t> (được sửa đổi, bổ sung bởi khoản 3 Điều 1 </w:t>
      </w:r>
      <w:hyperlink r:id="rId15" w:tgtFrame="_blank" w:history="1">
        <w:r w:rsidRPr="00EE71C5">
          <w:rPr>
            <w:rStyle w:val="Hyperlink"/>
            <w:rFonts w:cs="Times New Roman"/>
            <w:color w:val="auto"/>
            <w:sz w:val="24"/>
            <w:szCs w:val="24"/>
          </w:rPr>
          <w:t>Luật số 31/2013/QH13</w:t>
        </w:r>
      </w:hyperlink>
      <w:r w:rsidRPr="00EE71C5">
        <w:rPr>
          <w:rFonts w:cs="Times New Roman"/>
          <w:sz w:val="24"/>
          <w:szCs w:val="24"/>
        </w:rPr>
        <w:t> và khoản 2, khoản 3 Điều 3 </w:t>
      </w:r>
      <w:hyperlink r:id="rId16" w:tgtFrame="_blank" w:history="1">
        <w:r w:rsidRPr="00EE71C5">
          <w:rPr>
            <w:rStyle w:val="Hyperlink"/>
            <w:rFonts w:cs="Times New Roman"/>
            <w:color w:val="auto"/>
            <w:sz w:val="24"/>
            <w:szCs w:val="24"/>
          </w:rPr>
          <w:t>Luật số 71/2014/QH13</w:t>
        </w:r>
      </w:hyperlink>
      <w:r w:rsidRPr="00EE71C5">
        <w:rPr>
          <w:rFonts w:cs="Times New Roman"/>
          <w:sz w:val="24"/>
          <w:szCs w:val="24"/>
        </w:rPr>
        <w:t>).</w:t>
      </w:r>
    </w:p>
    <w:p w14:paraId="166F488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Theo đó, các sản phẩm sau đây sẽ chuyển từ áp dụng thuế suất 5% sang thuế suất 10% từ ngày 01/07/2025:</w:t>
      </w:r>
    </w:p>
    <w:p w14:paraId="463E270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(i) Lâm sản chưa qua chế biến.</w:t>
      </w:r>
    </w:p>
    <w:p w14:paraId="596B218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Đường; phụ phẩm trong sản xuất đường, bao gồm gỉ đường, bã mía, bã bùn.</w:t>
      </w:r>
    </w:p>
    <w:p w14:paraId="7DF26C3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(iii) Các loại thiết bị, dụng cụ chuyên dùng cho giảng dạy, nghiên cứu, thí nghiệm khoa học.</w:t>
      </w:r>
    </w:p>
    <w:p w14:paraId="582F80C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(iv) Hoạt động văn hóa, triển lãm, thể dục, thể thao; biểu diễn nghệ thuật, sản xuất phim; nhập khẩu, phát hành và chiếu phim.</w:t>
      </w:r>
    </w:p>
    <w:p w14:paraId="3D9343BD"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 xml:space="preserve">2. </w:t>
      </w:r>
      <w:r w:rsidRPr="00EE71C5">
        <w:rPr>
          <w:rFonts w:cs="Times New Roman"/>
          <w:b/>
          <w:bCs/>
          <w:i/>
          <w:iCs/>
          <w:sz w:val="24"/>
          <w:szCs w:val="24"/>
        </w:rPr>
        <w:t>Nhóm các sản phẩm chịu thuế suất 5% theo Luật thuế giá trị gia tăng 2024</w:t>
      </w:r>
    </w:p>
    <w:p w14:paraId="559A855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khoản 2 Điều 9 </w:t>
      </w:r>
      <w:hyperlink r:id="rId17"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(có hiệu lực từ ngày 01/01/2025), các sản phẩm chịu thuế suất 5% bao gồm:</w:t>
      </w:r>
    </w:p>
    <w:p w14:paraId="23FB73F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Nước sạch phục vụ sản xuất và sinh hoạt.</w:t>
      </w:r>
    </w:p>
    <w:p w14:paraId="009BA3A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Lưu ý:</w:t>
      </w:r>
      <w:r w:rsidRPr="00EE71C5">
        <w:rPr>
          <w:rFonts w:cs="Times New Roman"/>
          <w:sz w:val="24"/>
          <w:szCs w:val="24"/>
        </w:rPr>
        <w:t> Không bao gồm các loại nước uống đóng chai, đóng bình và các loại nước giải khát khác.</w:t>
      </w:r>
    </w:p>
    <w:p w14:paraId="6DE1A22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Phân bón, quặng để sản xuất phân bón, thuốc bảo vệ thực vật và chất kích thích tăng trưởng vật nuôi.</w:t>
      </w:r>
    </w:p>
    <w:p w14:paraId="0417326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(iii) Dịch vụ đào đắp, nạo vét kênh, mương, ao hồ phục vụ các hoạt động sau:</w:t>
      </w:r>
    </w:p>
    <w:p w14:paraId="08F646B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Sản xuất nông nghiệp.</w:t>
      </w:r>
    </w:p>
    <w:p w14:paraId="6B034FB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Nuôi trồng, chăm sóc, phòng trừ sâu bệnh cho cây trồng.</w:t>
      </w:r>
    </w:p>
    <w:p w14:paraId="79150D24"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Sơ chế, bảo quản sản phẩm nông nghiệp.</w:t>
      </w:r>
    </w:p>
    <w:p w14:paraId="37A6282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(iv) Sản phẩm cây trồng, rừng trồng (trừ gỗ, măng), chăn nuôi, thuỷ sản nuôi trồng, đánh bắt chưa chế biến thành các sản phẩm khác hoặc chỉ qua sơ chế thông thường.</w:t>
      </w:r>
    </w:p>
    <w:p w14:paraId="7C5FF0D4"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Lưu ý:</w:t>
      </w:r>
      <w:r w:rsidRPr="00EE71C5">
        <w:rPr>
          <w:rFonts w:cs="Times New Roman"/>
          <w:sz w:val="24"/>
          <w:szCs w:val="24"/>
        </w:rPr>
        <w:t> Trường hợp nhóm sản phẩm này của tổ chức, cá nhân tự sản xuất, đánh bắt bán ra và ở khâu nhập khẩu thì không thuộc đối tượng chịu thuế.</w:t>
      </w:r>
    </w:p>
    <w:p w14:paraId="07A6F4D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 Mủ cao su dạng mủ cờ rếp, mủ tờ, mủ bún, mủ cốm; lưới, dây giềng và sợi để đan lưới đánh cá.</w:t>
      </w:r>
    </w:p>
    <w:p w14:paraId="2B0BD7D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(vi) Sản phẩm bằng đay, cói, tre, nứa, lá, rơm, vỏ dừa, sọ dừa, bèo tây và các sản phẩm thủ công khác sản xuất bằng nguyên liệu tận dụng từ nông nghiệp; xơ bông đã qua chải thô, chải kỹ; giấy in báo.</w:t>
      </w:r>
    </w:p>
    <w:p w14:paraId="00631C2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(vii) Tàu khai thác thủy sản tại vùng biển; máy móc, thiết bị chuyên dùng phục vụ cho sản xuất nông nghiệp.</w:t>
      </w:r>
    </w:p>
    <w:p w14:paraId="753B087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(viii) Thiết bị y tế theo quy định của pháp luật về quản lý thiết bị y tế; thuốc phòng bệnh, chữa bệnh; dược chất, dược liệu là nguyên liệu sản xuất thuốc chữa bệnh, thuốc phòng bệnh.</w:t>
      </w:r>
    </w:p>
    <w:p w14:paraId="74C074F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(ix) Thiết bị dùng để giảng dạy và học tập bao gồm: Các loại mô hình, hình vẽ, bảng, phấn, thước, com-pa.</w:t>
      </w:r>
    </w:p>
    <w:p w14:paraId="1654887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(x) Hoạt động nghệ thuật biểu diễn truyền thống, dân gian.</w:t>
      </w:r>
    </w:p>
    <w:p w14:paraId="4403270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(xi) Đồ chơi cho trẻ em; sách các loại, trừ sách quy định tại khoản 15 Điều 5 </w:t>
      </w:r>
      <w:hyperlink r:id="rId18"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thì thuộc đối tượng không chịu thuế.</w:t>
      </w:r>
    </w:p>
    <w:p w14:paraId="47FBFD92"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(xii) Dịch vụ khoa học, công nghệ.</w:t>
      </w:r>
    </w:p>
    <w:p w14:paraId="293BAA5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(xiii) Bán, cho thuê, cho thuê mua nhà ở xã hội.</w:t>
      </w:r>
    </w:p>
    <w:p w14:paraId="7101F54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3. 02 sản phẩm không chịu thuế chuyển sang chịu thuế 5% từ ngày 01/07/2025</w:t>
      </w:r>
    </w:p>
    <w:p w14:paraId="732BE82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02 sản phẩm không chịu thuế chuyển sang chịu thuế 5% từ ngày 01/07/2025 bao gồm:</w:t>
      </w:r>
    </w:p>
    <w:p w14:paraId="7675288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Phân bón.</w:t>
      </w:r>
    </w:p>
    <w:p w14:paraId="079FDA12"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Tàu khai thác thủy sản tại vùng biển.</w:t>
      </w:r>
    </w:p>
    <w:p w14:paraId="1412ED32" w14:textId="1464A238" w:rsidR="00EE71C5" w:rsidRPr="00E41D6E" w:rsidRDefault="00EE71C5" w:rsidP="00983FB2">
      <w:pPr>
        <w:pStyle w:val="ListParagraph"/>
        <w:numPr>
          <w:ilvl w:val="0"/>
          <w:numId w:val="6"/>
        </w:numPr>
        <w:spacing w:before="120" w:after="120" w:line="360" w:lineRule="auto"/>
        <w:ind w:left="0" w:firstLine="567"/>
        <w:jc w:val="both"/>
        <w:rPr>
          <w:rFonts w:cs="Times New Roman"/>
          <w:b/>
          <w:bCs/>
          <w:sz w:val="24"/>
          <w:szCs w:val="24"/>
        </w:rPr>
      </w:pPr>
      <w:r w:rsidRPr="00E41D6E">
        <w:rPr>
          <w:rFonts w:cs="Times New Roman"/>
          <w:b/>
          <w:bCs/>
          <w:sz w:val="24"/>
          <w:szCs w:val="24"/>
        </w:rPr>
        <w:t>Các thay đổi về điều kiện khấu trừ thuế GTGT đầu vào từ tháng 07/2025</w:t>
      </w:r>
    </w:p>
    <w:p w14:paraId="4747F626"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Luật Thuế giá trị gia tăng 2024 sẽ có hiệu lực từ tháng 07/2025. Theo đó có sự thay đổi về điều kiện khấu trừ thuế GTGT đầu vào mà doanh nghiệp cần phải lưu ý.</w:t>
      </w:r>
    </w:p>
    <w:p w14:paraId="6257AB8F"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1</w:t>
      </w:r>
      <w:r w:rsidRPr="00EE71C5">
        <w:rPr>
          <w:rFonts w:cs="Times New Roman"/>
          <w:b/>
          <w:bCs/>
          <w:sz w:val="24"/>
          <w:szCs w:val="24"/>
        </w:rPr>
        <w:t xml:space="preserve">. </w:t>
      </w:r>
      <w:r w:rsidRPr="00EE71C5">
        <w:rPr>
          <w:rFonts w:cs="Times New Roman"/>
          <w:b/>
          <w:bCs/>
          <w:i/>
          <w:iCs/>
          <w:sz w:val="24"/>
          <w:szCs w:val="24"/>
        </w:rPr>
        <w:t>Các thay đổi về điều kiện khấu trừ thuế GTGT đầu vào từ tháng 07/2025</w:t>
      </w:r>
    </w:p>
    <w:p w14:paraId="585D708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Điều 14 </w:t>
      </w:r>
      <w:hyperlink r:id="rId19"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điều kiện khấu trừ thuế GTGT đầu vào từ tháng 07/2025 có 02 điểm mới cần phải lưu ý như sau:</w:t>
      </w:r>
    </w:p>
    <w:p w14:paraId="13B2D43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Mua vào hàng hóa, dịch vụ dưới 20 triệu đồng phải có chứng từ thanh toán không dùng tiền mặt</w:t>
      </w:r>
    </w:p>
    <w:p w14:paraId="4E85294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Bổ sung một số chứng từ được khấu trừ thuế GTGT đầu vào.</w:t>
      </w:r>
    </w:p>
    <w:p w14:paraId="658CC7E7"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1.1. Mua vào hàng hóa, dịch vụ dưới 20 triệu đồng phải có chứng từ thanh toán không dùng tiền mặt</w:t>
      </w:r>
    </w:p>
    <w:p w14:paraId="64DDDD94"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Theo đó, khoản 2 Điều 12 </w:t>
      </w:r>
      <w:hyperlink r:id="rId20" w:tgtFrame="_blank" w:history="1">
        <w:r w:rsidRPr="00EE71C5">
          <w:rPr>
            <w:rStyle w:val="Hyperlink"/>
            <w:rFonts w:cs="Times New Roman"/>
            <w:color w:val="auto"/>
            <w:sz w:val="24"/>
            <w:szCs w:val="24"/>
          </w:rPr>
          <w:t>Luật Thuế giá trị gia tăng 2008</w:t>
        </w:r>
      </w:hyperlink>
      <w:r w:rsidRPr="00EE71C5">
        <w:rPr>
          <w:rFonts w:cs="Times New Roman"/>
          <w:sz w:val="24"/>
          <w:szCs w:val="24"/>
        </w:rPr>
        <w:t> (sẽ hết hiệu lực từ tháng 07/2025), điều kiện khấu trừ thuế GTGT đầu vào được quy định như sau:</w:t>
      </w:r>
    </w:p>
    <w:p w14:paraId="2E8A6FDA"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a) Có hoá đơn giá trị gia tăng mua hàng hoá, dịch vụ hoặc chứng từ nộp thuế giá trị gia tăng ở khâu nhập khẩu;</w:t>
      </w:r>
    </w:p>
    <w:p w14:paraId="0FF1C60E"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lastRenderedPageBreak/>
        <w:t>b) Có chứng từ thanh toán không dùng tiền mặt đối với hàng hóa, dịch vụ mua vào, trừ hàng hoá, dịch vụ mua từng lần có giá trị dưới hai mươi triệu đồng;</w:t>
      </w:r>
    </w:p>
    <w:p w14:paraId="4947C1FB"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c) Đối với hàng hoá, dịch vụ xuất khẩu, ngoài các điều kiện quy định tại điểm a và điểm b khoản này còn phải có: hợp đồng ký kết với bên nước ngoài về việc bán, gia công hàng hoá, cung ứng dịch vụ; hoá đơn bán hàng hoá, dịch vụ; chứng từ thanh toán không dùng tiền mặt; tờ khai hải quan đối với hàng hoá xuất khẩu.</w:t>
      </w:r>
    </w:p>
    <w:p w14:paraId="60E98B2E"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Việc thanh toán tiền hàng hoá, dịch vụ xuất khẩu dưới hình thức thanh toán bù trừ giữa hàng hóa, dịch vụ xuất khẩu với hàng hóa, dịch vụ nhập khẩu, trả nợ thay Nhà nước được coi là thanh toán không dùng tiền mặt.”</w:t>
      </w:r>
    </w:p>
    <w:p w14:paraId="7A8D4B1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Theo đó, theo quy định của pháp luật hiện hành, đối với hàng hoá, dịch vụ mua từng lần có giá trị dưới 20 triệu đồng không bắt buộc phải có chứng từ thanh toán không dùng tiền mặt để được khấu trừ thuế GTGT đầu vào.</w:t>
      </w:r>
    </w:p>
    <w:p w14:paraId="1987647D"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Tuy nhiên, theo quy định mới (điểm b khoản 2 Điều 14 </w:t>
      </w:r>
      <w:hyperlink r:id="rId21"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bắt đầu có hiệu lực từ ngày 01/07/2025, quy định như sau:</w:t>
      </w:r>
    </w:p>
    <w:p w14:paraId="7A26D7DD"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2. Điều kiện khấu trừ thuế giá trị gia tăng đầu vào được quy định như sau:</w:t>
      </w:r>
    </w:p>
    <w:p w14:paraId="3F342BED"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4F85F9A4"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 xml:space="preserve">b) Có chứng từ thanh toán không dùng tiền mặt đối với hàng hóa, dịch vụ mua vào, trừ một số trường hợp đặc thù theo quy định của Chính </w:t>
      </w:r>
      <w:proofErr w:type="gramStart"/>
      <w:r w:rsidRPr="00EE71C5">
        <w:rPr>
          <w:rFonts w:cs="Times New Roman"/>
          <w:i/>
          <w:iCs/>
          <w:sz w:val="24"/>
          <w:szCs w:val="24"/>
        </w:rPr>
        <w:t>phủ;...</w:t>
      </w:r>
      <w:proofErr w:type="gramEnd"/>
    </w:p>
    <w:p w14:paraId="61C6DA8C"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24BB222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Theo đó, từ tháng 07/2025, hàng hóa, dịch vụ mua vào bắt buộc phải có chứng từ thanh toán không dùng tiền mặt để được khấu trừ thuế GTGT đầu vào (kể cả hàng hóa, dịch vụ có giá trị dưới 20 triệu đồng) trừ một số trường hợp đặc thù theo quy định của Chính phủ.</w:t>
      </w:r>
    </w:p>
    <w:p w14:paraId="3A18E35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Tóm lại, từ tháng 07/2025, mua vào hàng hóa, dịch vụ dưới 20 triệu đồng phải có chứng từ thanh toán không dùng tiền mặt để được khấu trừ thuế GTGT đầu vào.</w:t>
      </w:r>
    </w:p>
    <w:p w14:paraId="2B5C8D01"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1.2. Bổ sung một số chứng từ được khấu trừ thuế GTGT đầu vào</w:t>
      </w:r>
    </w:p>
    <w:p w14:paraId="189A381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Đây là quy định mới của </w:t>
      </w:r>
      <w:hyperlink r:id="rId22"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so với quy định hiện hành. Theo đó, đã bổ sung một số chứng từ được khấu trừ thuế GTGT đầu vào đối với hàng hóa, dịch vụ suất khẩu như sau:</w:t>
      </w:r>
    </w:p>
    <w:p w14:paraId="6F66338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xml:space="preserve">Đối với hàng hóa, dịch vụ xuất khẩu, ngoài các điều kiện được khấu trừ thuế GTGT đầu vào (như có hóa đơn GTGT mua hàng hóa, dịch vụ hoặc chứng từ nộp thuế GTGT ở khâu nhập </w:t>
      </w:r>
      <w:r w:rsidRPr="00EE71C5">
        <w:rPr>
          <w:rFonts w:cs="Times New Roman"/>
          <w:sz w:val="24"/>
          <w:szCs w:val="24"/>
        </w:rPr>
        <w:lastRenderedPageBreak/>
        <w:t>khẩu hoặc chứng từ nộp thuế GTGT thay cho phía nước ngoài và có chứng từ thanh toán không dùng tiền mặt) quy định tại điểm a và điểm b khoản 2 Điều 14 </w:t>
      </w:r>
      <w:hyperlink r:id="rId23"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còn phải có các chứng từ sau đây:</w:t>
      </w:r>
    </w:p>
    <w:p w14:paraId="3ED2A658"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Hợp đồng ký kết với bên nước ngoài về việc bán, gia công hàng hóa, cung cấp dịch vụ.</w:t>
      </w:r>
    </w:p>
    <w:p w14:paraId="324446B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Hóa đơn bán hàng hóa, cung cấp dịch vụ.</w:t>
      </w:r>
    </w:p>
    <w:p w14:paraId="005A0F5D"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(iii) Chứng từ thanh toán không dùng tiền mặt.</w:t>
      </w:r>
    </w:p>
    <w:p w14:paraId="1A0C025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(iv) Tờ khai hải quan đối với hàng hóa xuất khẩu.</w:t>
      </w:r>
    </w:p>
    <w:p w14:paraId="59C23C6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i/>
          <w:iCs/>
          <w:sz w:val="24"/>
          <w:szCs w:val="24"/>
        </w:rPr>
        <w:t>(v) Phiếu đóng gói, vận đơn, chứng từ bảo hiểm hàng hóa (nếu có).</w:t>
      </w:r>
    </w:p>
    <w:p w14:paraId="0B9485E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Trong đó “</w:t>
      </w:r>
      <w:r w:rsidRPr="00EE71C5">
        <w:rPr>
          <w:rFonts w:cs="Times New Roman"/>
          <w:i/>
          <w:iCs/>
          <w:sz w:val="24"/>
          <w:szCs w:val="24"/>
        </w:rPr>
        <w:t>Phiếu đóng gói, vận đơn, chứng từ bảo hiểm hàng hóa (nếu có).”</w:t>
      </w:r>
      <w:r w:rsidRPr="00EE71C5">
        <w:rPr>
          <w:rFonts w:cs="Times New Roman"/>
          <w:sz w:val="24"/>
          <w:szCs w:val="24"/>
        </w:rPr>
        <w:t> là chứng từ mới được bổ sung tại </w:t>
      </w:r>
      <w:hyperlink r:id="rId24"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w:t>
      </w:r>
    </w:p>
    <w:p w14:paraId="5BE2DC31" w14:textId="77777777" w:rsidR="00EE71C5" w:rsidRPr="00E41D6E"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(Theo điểm c khoản 2 Điều 14 </w:t>
      </w:r>
      <w:hyperlink r:id="rId25" w:tgtFrame="_blank" w:history="1">
        <w:r w:rsidRPr="00EE71C5">
          <w:rPr>
            <w:rStyle w:val="Hyperlink"/>
            <w:rFonts w:cs="Times New Roman"/>
            <w:i/>
            <w:iCs/>
            <w:color w:val="auto"/>
            <w:sz w:val="24"/>
            <w:szCs w:val="24"/>
          </w:rPr>
          <w:t>Luật thuế giá trị gia tăng 2024</w:t>
        </w:r>
      </w:hyperlink>
      <w:r w:rsidRPr="00EE71C5">
        <w:rPr>
          <w:rFonts w:cs="Times New Roman"/>
          <w:i/>
          <w:iCs/>
          <w:sz w:val="24"/>
          <w:szCs w:val="24"/>
        </w:rPr>
        <w:t>)</w:t>
      </w:r>
    </w:p>
    <w:p w14:paraId="0BB342D8" w14:textId="77777777" w:rsidR="00E41D6E" w:rsidRPr="00EE71C5" w:rsidRDefault="00E41D6E" w:rsidP="00983FB2">
      <w:pPr>
        <w:spacing w:before="120" w:after="120" w:line="360" w:lineRule="auto"/>
        <w:ind w:firstLine="567"/>
        <w:jc w:val="both"/>
        <w:rPr>
          <w:rFonts w:cs="Times New Roman"/>
          <w:sz w:val="24"/>
          <w:szCs w:val="24"/>
        </w:rPr>
      </w:pPr>
    </w:p>
    <w:p w14:paraId="7FF3E25D" w14:textId="0CFE6FDE" w:rsidR="00EE71C5" w:rsidRPr="00E41D6E" w:rsidRDefault="00EE71C5" w:rsidP="00983FB2">
      <w:pPr>
        <w:pStyle w:val="ListParagraph"/>
        <w:numPr>
          <w:ilvl w:val="0"/>
          <w:numId w:val="6"/>
        </w:numPr>
        <w:spacing w:before="120" w:after="120" w:line="360" w:lineRule="auto"/>
        <w:ind w:left="0" w:firstLine="567"/>
        <w:jc w:val="both"/>
        <w:rPr>
          <w:rFonts w:cs="Times New Roman"/>
          <w:b/>
          <w:bCs/>
          <w:sz w:val="24"/>
          <w:szCs w:val="24"/>
        </w:rPr>
      </w:pPr>
      <w:r w:rsidRPr="00E41D6E">
        <w:rPr>
          <w:rFonts w:cs="Times New Roman"/>
          <w:b/>
          <w:bCs/>
          <w:sz w:val="24"/>
          <w:szCs w:val="24"/>
        </w:rPr>
        <w:t>Ngừng miễn thuế VAT hàng hóa dưới 01 triệu đồng nhập khẩu qua Shoppe, Tiktok từ 14/01/2025</w:t>
      </w:r>
    </w:p>
    <w:p w14:paraId="1E2BBB6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Ngày 30/11/2024, Quốc hội ban hành Nghị quyết 174/2024/QH15. Theo đó, từ ngày 14/01/2025 sẽ ngừng miễn thuế VAT hàng hóa nhập khẩu giá trị nhỏ gửi qua chuyển phát nhanh.</w:t>
      </w:r>
    </w:p>
    <w:p w14:paraId="7167EAB4" w14:textId="77777777" w:rsidR="00EE71C5" w:rsidRPr="00EE71C5" w:rsidRDefault="00EE71C5" w:rsidP="00983FB2">
      <w:pPr>
        <w:spacing w:before="120" w:after="120" w:line="360" w:lineRule="auto"/>
        <w:ind w:firstLine="567"/>
        <w:jc w:val="both"/>
        <w:rPr>
          <w:rFonts w:cs="Times New Roman"/>
          <w:b/>
          <w:bCs/>
          <w:i/>
          <w:iCs/>
          <w:sz w:val="24"/>
          <w:szCs w:val="24"/>
        </w:rPr>
      </w:pPr>
      <w:r w:rsidRPr="00EE71C5">
        <w:rPr>
          <w:rFonts w:cs="Times New Roman"/>
          <w:b/>
          <w:bCs/>
          <w:i/>
          <w:iCs/>
          <w:sz w:val="24"/>
          <w:szCs w:val="24"/>
        </w:rPr>
        <w:t>1. Ngừng miễn thuế VAT hàng hóa dưới 01 triệu đồng nhập khẩu qua Shoppe, Tiktok từ 14/01/2025</w:t>
      </w:r>
    </w:p>
    <w:p w14:paraId="3AA3F40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Tại</w:t>
      </w:r>
      <w:r w:rsidRPr="00EE71C5">
        <w:rPr>
          <w:rFonts w:cs="Times New Roman"/>
          <w:b/>
          <w:bCs/>
          <w:sz w:val="24"/>
          <w:szCs w:val="24"/>
        </w:rPr>
        <w:t> </w:t>
      </w:r>
      <w:r w:rsidRPr="00EE71C5">
        <w:rPr>
          <w:rFonts w:cs="Times New Roman"/>
          <w:sz w:val="24"/>
          <w:szCs w:val="24"/>
        </w:rPr>
        <w:t>Mục 8 </w:t>
      </w:r>
      <w:hyperlink r:id="rId26" w:tgtFrame="_blank" w:history="1">
        <w:r w:rsidRPr="00EE71C5">
          <w:rPr>
            <w:rStyle w:val="Hyperlink"/>
            <w:rFonts w:cs="Times New Roman"/>
            <w:color w:val="auto"/>
            <w:sz w:val="24"/>
            <w:szCs w:val="24"/>
          </w:rPr>
          <w:t>Nghị quyết 174/2024/QH15</w:t>
        </w:r>
      </w:hyperlink>
      <w:r w:rsidRPr="00EE71C5">
        <w:rPr>
          <w:rFonts w:cs="Times New Roman"/>
          <w:sz w:val="24"/>
          <w:szCs w:val="24"/>
        </w:rPr>
        <w:t> có hiệu lực từ ngày 14/01/2025 quy định như sau:</w:t>
      </w:r>
    </w:p>
    <w:p w14:paraId="3ED5751A"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8. Tiếp tục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 tháng 01 năm 2025 đến hết ngày 30 tháng 6 năm 2025. Giao Chính phủ tổ chức thực hiện, chịu trách nhiệm bảo đảm nhiệm vụ thu và khả năng cân đối ngân sách nhà nước năm 2025 đã được Quốc hội quyết định; </w:t>
      </w:r>
      <w:r w:rsidRPr="00EE71C5">
        <w:rPr>
          <w:rFonts w:cs="Times New Roman"/>
          <w:b/>
          <w:bCs/>
          <w:i/>
          <w:iCs/>
          <w:sz w:val="24"/>
          <w:szCs w:val="24"/>
        </w:rPr>
        <w:t>chấm dứt ngay hiệu lực của quy định miễn thuế giá trị gia tăng trong Quyết định số 78/2010/QĐ-TTg</w:t>
      </w:r>
      <w:r w:rsidRPr="00EE71C5">
        <w:rPr>
          <w:rFonts w:cs="Times New Roman"/>
          <w:i/>
          <w:iCs/>
          <w:sz w:val="24"/>
          <w:szCs w:val="24"/>
        </w:rPr>
        <w:t> của Thủ tướng Chính phủ, làm cơ sở cho cơ quan quản lý thuế có căn cứ pháp lý và chế tài quản lý thu đối với các sàn thương mại điện tử nước ngoài bán hàng hóa vào Việt Nam.</w:t>
      </w:r>
    </w:p>
    <w:p w14:paraId="1DFA480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Theo đó, từ ngày 14/01/2025 sẽ chấm dứt ngay hiệu lực của quy định miễn thuế giá trị gia tăng trong </w:t>
      </w:r>
      <w:hyperlink r:id="rId27" w:tgtFrame="_blank" w:history="1">
        <w:r w:rsidRPr="00EE71C5">
          <w:rPr>
            <w:rStyle w:val="Hyperlink"/>
            <w:rFonts w:cs="Times New Roman"/>
            <w:color w:val="auto"/>
            <w:sz w:val="24"/>
            <w:szCs w:val="24"/>
          </w:rPr>
          <w:t>Quyết định 78/2010/QĐ-TTg</w:t>
        </w:r>
      </w:hyperlink>
      <w:r w:rsidRPr="00EE71C5">
        <w:rPr>
          <w:rFonts w:cs="Times New Roman"/>
          <w:sz w:val="24"/>
          <w:szCs w:val="24"/>
        </w:rPr>
        <w:t>.</w:t>
      </w:r>
    </w:p>
    <w:p w14:paraId="25A914D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Dẫn chiếu đến Điều 1 </w:t>
      </w:r>
      <w:hyperlink r:id="rId28" w:tgtFrame="_blank" w:history="1">
        <w:r w:rsidRPr="00EE71C5">
          <w:rPr>
            <w:rStyle w:val="Hyperlink"/>
            <w:rFonts w:cs="Times New Roman"/>
            <w:color w:val="auto"/>
            <w:sz w:val="24"/>
            <w:szCs w:val="24"/>
          </w:rPr>
          <w:t>Quyết định 78/2010/QĐ-TTg</w:t>
        </w:r>
      </w:hyperlink>
      <w:r w:rsidRPr="00EE71C5">
        <w:rPr>
          <w:rFonts w:cs="Times New Roman"/>
          <w:sz w:val="24"/>
          <w:szCs w:val="24"/>
        </w:rPr>
        <w:t> quy định về mức giá trị hàng hóa nhập khẩu gửi qua dịch vụ chuyển phát nhanh được miễn thuế cụ thể như sau:</w:t>
      </w:r>
    </w:p>
    <w:p w14:paraId="629285ED"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Hàng hóa nhập khẩu gửi qua dịch vụ chuyển phát nhanh có giá trị </w:t>
      </w:r>
      <w:r w:rsidRPr="00EE71C5">
        <w:rPr>
          <w:rFonts w:cs="Times New Roman"/>
          <w:b/>
          <w:bCs/>
          <w:sz w:val="24"/>
          <w:szCs w:val="24"/>
        </w:rPr>
        <w:t>từ 01 triệu đồng trở xuống</w:t>
      </w:r>
      <w:r w:rsidRPr="00EE71C5">
        <w:rPr>
          <w:rFonts w:cs="Times New Roman"/>
          <w:sz w:val="24"/>
          <w:szCs w:val="24"/>
        </w:rPr>
        <w:t> được miễn thuế nhập khẩu và thuế VAT (thuế giá trị gia tăng).</w:t>
      </w:r>
    </w:p>
    <w:p w14:paraId="2A28C9E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Hàng hóa nhập khẩu gửi qua dịch vụ chuyển phát nhanh có giá trị </w:t>
      </w:r>
      <w:r w:rsidRPr="00EE71C5">
        <w:rPr>
          <w:rFonts w:cs="Times New Roman"/>
          <w:b/>
          <w:bCs/>
          <w:sz w:val="24"/>
          <w:szCs w:val="24"/>
        </w:rPr>
        <w:t>trên 01 triệu đồng</w:t>
      </w:r>
      <w:r w:rsidRPr="00EE71C5">
        <w:rPr>
          <w:rFonts w:cs="Times New Roman"/>
          <w:sz w:val="24"/>
          <w:szCs w:val="24"/>
        </w:rPr>
        <w:t> phải nộp thuế nhập khẩu, thuế giá trị gia tăng theo quy định của pháp luật.</w:t>
      </w:r>
    </w:p>
    <w:p w14:paraId="79D6D04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xml:space="preserve">Như vậy, theo quy định hiện hành hàng hóa có giá trị dưới 01 triệu đồng nhập khẩu qua dịch vụ chuyển phát nhanh (hàng hóa nhập khẩu qua Shoppe, Lazada, </w:t>
      </w:r>
      <w:proofErr w:type="gramStart"/>
      <w:r w:rsidRPr="00EE71C5">
        <w:rPr>
          <w:rFonts w:cs="Times New Roman"/>
          <w:sz w:val="24"/>
          <w:szCs w:val="24"/>
        </w:rPr>
        <w:t>Tiktok,…</w:t>
      </w:r>
      <w:proofErr w:type="gramEnd"/>
      <w:r w:rsidRPr="00EE71C5">
        <w:rPr>
          <w:rFonts w:cs="Times New Roman"/>
          <w:sz w:val="24"/>
          <w:szCs w:val="24"/>
        </w:rPr>
        <w:t>) được miễn thuế VAT (miễn thuế giá trị gia tăng).</w:t>
      </w:r>
    </w:p>
    <w:p w14:paraId="4101FFF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xml:space="preserve">Tuy nhiên từ ngày 14/01/2025, sẽ ngừng miễn thuế VAT đối với hàng hóa có giá trị dưới 01 triệu đồng nhập khẩu qua Shoppe, </w:t>
      </w:r>
      <w:proofErr w:type="gramStart"/>
      <w:r w:rsidRPr="00EE71C5">
        <w:rPr>
          <w:rFonts w:cs="Times New Roman"/>
          <w:sz w:val="24"/>
          <w:szCs w:val="24"/>
        </w:rPr>
        <w:t>Tiktok,..</w:t>
      </w:r>
      <w:proofErr w:type="gramEnd"/>
    </w:p>
    <w:p w14:paraId="7C568B2A" w14:textId="77777777" w:rsidR="00EE71C5" w:rsidRPr="00EE71C5" w:rsidRDefault="00EE71C5" w:rsidP="00983FB2">
      <w:pPr>
        <w:spacing w:before="120" w:after="120" w:line="360" w:lineRule="auto"/>
        <w:ind w:firstLine="567"/>
        <w:jc w:val="both"/>
        <w:rPr>
          <w:rFonts w:cs="Times New Roman"/>
          <w:b/>
          <w:bCs/>
          <w:i/>
          <w:iCs/>
          <w:sz w:val="24"/>
          <w:szCs w:val="24"/>
        </w:rPr>
      </w:pPr>
      <w:r w:rsidRPr="00EE71C5">
        <w:rPr>
          <w:rFonts w:cs="Times New Roman"/>
          <w:b/>
          <w:bCs/>
          <w:i/>
          <w:iCs/>
          <w:sz w:val="24"/>
          <w:szCs w:val="24"/>
        </w:rPr>
        <w:t>2. Các hành vi bị nghiêm cấm trong khấu trừ, hoàn thuế theo Luật Thuế giá trị gia tăng 2024</w:t>
      </w:r>
    </w:p>
    <w:p w14:paraId="1F25B26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Điều 13 </w:t>
      </w:r>
      <w:hyperlink r:id="rId29"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có hiệu lực từ ngày 01/07/2025, các hành vi bị cấm trong khấu trừ, hoàn thuế GTGT bao gồm:</w:t>
      </w:r>
    </w:p>
    <w:p w14:paraId="043A2C3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Mua, cho, bán, tổ chức quảng cáo, môi giới mua, bán hóa đơn.</w:t>
      </w:r>
    </w:p>
    <w:p w14:paraId="46BE9A5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Tạo lập giao dịch mua, bán hàng hóa, cung cấp dịch vụ không có thật hoặc giao dịch không đúng quy định của pháp luật.</w:t>
      </w:r>
    </w:p>
    <w:p w14:paraId="1934A29A"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(iii)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14:paraId="134EA5FF"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(iv) Sử dụng hóa đơn, chứng từ không hợp pháp, sử dụng không hợp pháp hóa đơn, chứng từ theo quy định của Chính phủ.</w:t>
      </w:r>
    </w:p>
    <w:p w14:paraId="4B42D604"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 Không chuyển dữ liệu hóa đơn điện tử về cơ quan thuế theo quy định.</w:t>
      </w:r>
    </w:p>
    <w:p w14:paraId="5E19420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(vi) Làm sai lệch, sử dụng sai mục đích, truy cập trái phép, phá hủy hệ thống thông tin về hóa đơn, chứng từ.</w:t>
      </w:r>
    </w:p>
    <w:p w14:paraId="0A05DF1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(vii) Đưa, nhận, môi giới hối lộ hoặc thực hiện các hành vi khác liên quan đến hóa đơn, chứng từ để được khấu trừ thuế, hoàn thuế, chiếm đoạt tiền thuế, trốn thuế GTGT.</w:t>
      </w:r>
    </w:p>
    <w:p w14:paraId="1E4BDD6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(viii) Thông đồng, bao che; 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GTGT.</w:t>
      </w:r>
    </w:p>
    <w:p w14:paraId="15DC7444" w14:textId="4E66BC38" w:rsidR="00EE71C5" w:rsidRPr="00E41D6E" w:rsidRDefault="00EE71C5" w:rsidP="00983FB2">
      <w:pPr>
        <w:pStyle w:val="ListParagraph"/>
        <w:numPr>
          <w:ilvl w:val="0"/>
          <w:numId w:val="6"/>
        </w:numPr>
        <w:spacing w:before="120" w:after="120" w:line="360" w:lineRule="auto"/>
        <w:ind w:left="0" w:firstLine="567"/>
        <w:jc w:val="both"/>
        <w:rPr>
          <w:rFonts w:cs="Times New Roman"/>
          <w:b/>
          <w:bCs/>
          <w:sz w:val="24"/>
          <w:szCs w:val="24"/>
        </w:rPr>
      </w:pPr>
      <w:r w:rsidRPr="00E41D6E">
        <w:rPr>
          <w:rFonts w:cs="Times New Roman"/>
          <w:b/>
          <w:bCs/>
          <w:sz w:val="24"/>
          <w:szCs w:val="24"/>
        </w:rPr>
        <w:t>Từ năm 2026, nâng mức doanh thu chịu thuế GTGT của hộ, cá nhân kinh doanh</w:t>
      </w:r>
    </w:p>
    <w:p w14:paraId="7D9B4446"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Luật Thuế Giá trị gia tăng 2024 sẽ có hiệu lực từ ngày 01/7/2025. Theo đó sẽ nâng mức doanh thu chịu thuế GTGT của hộ, cá nhân kinh doanh so với quy định hiện hành.</w:t>
      </w:r>
    </w:p>
    <w:p w14:paraId="7460CC6A"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1. Từ năm 2026, nâng mức doanh thu chịu thuế GTGT của hộ, cá nhân kinh doanh</w:t>
      </w:r>
    </w:p>
    <w:p w14:paraId="408EE1CA" w14:textId="77777777" w:rsidR="00EE71C5" w:rsidRPr="00EE71C5" w:rsidRDefault="00EE71C5" w:rsidP="00983FB2">
      <w:pPr>
        <w:spacing w:before="120" w:after="120" w:line="360" w:lineRule="auto"/>
        <w:ind w:firstLine="567"/>
        <w:jc w:val="both"/>
        <w:rPr>
          <w:rFonts w:cs="Times New Roman"/>
          <w:sz w:val="24"/>
          <w:szCs w:val="24"/>
        </w:rPr>
      </w:pPr>
      <w:hyperlink r:id="rId30"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đã nâng mức doanh thu chịu thuế GTGT của hộ, cá nhân kinh doanh từ 100 triệu đồng lên 200 triệu đồng. Cụ thể như sau:</w:t>
      </w:r>
    </w:p>
    <w:p w14:paraId="4478CFC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khoản 25 Điều 5 </w:t>
      </w:r>
      <w:hyperlink r:id="rId31"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quy định về đối tượng không chịu thuế như sau:</w:t>
      </w:r>
    </w:p>
    <w:p w14:paraId="69C81DD8"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Điều 5. Đối tượng không chịu thuế</w:t>
      </w:r>
    </w:p>
    <w:p w14:paraId="3D2DE0C7"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w:t>
      </w:r>
    </w:p>
    <w:p w14:paraId="24150F0E"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i/>
          <w:iCs/>
          <w:sz w:val="24"/>
          <w:szCs w:val="24"/>
        </w:rPr>
        <w:t>25. Hàng hóa, dịch vụ của hộ, cá nhân sản xuất, kinh doanh có mức doanh thu hằng năm </w:t>
      </w:r>
      <w:r w:rsidRPr="00EE71C5">
        <w:rPr>
          <w:rFonts w:cs="Times New Roman"/>
          <w:b/>
          <w:bCs/>
          <w:i/>
          <w:iCs/>
          <w:sz w:val="24"/>
          <w:szCs w:val="24"/>
        </w:rPr>
        <w:t>từ 200 triệu đồng trở xuống</w:t>
      </w:r>
      <w:r w:rsidRPr="00EE71C5">
        <w:rPr>
          <w:rFonts w:cs="Times New Roman"/>
          <w:i/>
          <w:iCs/>
          <w:sz w:val="24"/>
          <w:szCs w:val="24"/>
        </w:rPr>
        <w:t>;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p>
    <w:p w14:paraId="56EF60F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Đồng thời căn cứ khoản 2 Điều 18 </w:t>
      </w:r>
      <w:hyperlink r:id="rId32"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quy định tại khoản 25 Điều 5 </w:t>
      </w:r>
      <w:hyperlink r:id="rId33"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sẽ có hiệu lực từ ngày 01/01/2026.</w:t>
      </w:r>
    </w:p>
    <w:p w14:paraId="38684F4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Trong khi đó theo quy định tại khoản 2 Điều 4 </w:t>
      </w:r>
      <w:hyperlink r:id="rId34" w:tgtFrame="_blank" w:history="1">
        <w:r w:rsidRPr="00EE71C5">
          <w:rPr>
            <w:rStyle w:val="Hyperlink"/>
            <w:rFonts w:cs="Times New Roman"/>
            <w:color w:val="auto"/>
            <w:sz w:val="24"/>
            <w:szCs w:val="24"/>
          </w:rPr>
          <w:t>Thông tư 40/2021/TT-BTC</w:t>
        </w:r>
      </w:hyperlink>
      <w:r w:rsidRPr="00EE71C5">
        <w:rPr>
          <w:rFonts w:cs="Times New Roman"/>
          <w:sz w:val="24"/>
          <w:szCs w:val="24"/>
        </w:rPr>
        <w:t>, hộ kinh doanh, cá nhân kinh doanh có doanh thu từ hoạt động sản xuất, kinh doanh trong năm dương lịch </w:t>
      </w:r>
      <w:r w:rsidRPr="00EE71C5">
        <w:rPr>
          <w:rFonts w:cs="Times New Roman"/>
          <w:b/>
          <w:bCs/>
          <w:sz w:val="24"/>
          <w:szCs w:val="24"/>
        </w:rPr>
        <w:t>từ 100 triệu đồng trở xuống</w:t>
      </w:r>
      <w:r w:rsidRPr="00EE71C5">
        <w:rPr>
          <w:rFonts w:cs="Times New Roman"/>
          <w:sz w:val="24"/>
          <w:szCs w:val="24"/>
        </w:rPr>
        <w:t> thì thuộc trường hợp không phải nộp thuế giá trị gia tăng và không phải nộp thuế thu nhập cá nhân.</w:t>
      </w:r>
    </w:p>
    <w:p w14:paraId="14B7402D"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Như vậy, </w:t>
      </w:r>
      <w:hyperlink r:id="rId35"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đã nâng mức doanh thu chịu thuế GTGT từ 100 triệu đồng lên 200 triệu đồng nhằm tạo điều kiện thuận lợi hơn  cho hộ, cá nhân phát triển kinh doanh.</w:t>
      </w:r>
    </w:p>
    <w:p w14:paraId="5525B3D8"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Tóm lại, từ năm 2026, hộ kinh doanh, cá nhân kinh doanh có doanh thu hằng năm từ 200 triệu đồng trở xuống không chịu thuế giá trị gia tăng.</w:t>
      </w:r>
    </w:p>
    <w:p w14:paraId="1A612DA9" w14:textId="77777777" w:rsidR="00EE71C5" w:rsidRPr="00EE71C5" w:rsidRDefault="00EE71C5" w:rsidP="00983FB2">
      <w:pPr>
        <w:spacing w:before="120" w:after="120" w:line="360" w:lineRule="auto"/>
        <w:ind w:firstLine="567"/>
        <w:jc w:val="both"/>
        <w:rPr>
          <w:rFonts w:cs="Times New Roman"/>
          <w:b/>
          <w:bCs/>
          <w:i/>
          <w:iCs/>
          <w:sz w:val="24"/>
          <w:szCs w:val="24"/>
        </w:rPr>
      </w:pPr>
      <w:r w:rsidRPr="00EE71C5">
        <w:rPr>
          <w:rFonts w:cs="Times New Roman"/>
          <w:b/>
          <w:bCs/>
          <w:i/>
          <w:iCs/>
          <w:sz w:val="24"/>
          <w:szCs w:val="24"/>
        </w:rPr>
        <w:lastRenderedPageBreak/>
        <w:t>2. Các trường hợp hàng hóa nhập khẩu không chịu thuế GTGT theo Luật Thuế GTGT 2024</w:t>
      </w:r>
    </w:p>
    <w:p w14:paraId="1D2169B0"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khoản 26 Điều 5 </w:t>
      </w:r>
      <w:hyperlink r:id="rId36"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(có hiệu lực từ tháng 7/2025), hàng hóa nhập khẩu trong trường hợp sau đây sẽ không phải chịu thuế GTGT:</w:t>
      </w:r>
    </w:p>
    <w:p w14:paraId="25E04EBE"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w:t>
      </w:r>
    </w:p>
    <w:p w14:paraId="2939A5A4"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Quà biếu, quà tặng trong định mức miễn thuế nhập khẩu của tổ chức, cá nhân nước ngoài cho cá nhân Việt Nam.</w:t>
      </w:r>
    </w:p>
    <w:p w14:paraId="23945D8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Đồ dùng của tổ chức, cá nhân nước ngoài theo tiêu chuẩn miễn trừ ngoại giao và tài sản di chuyển trong định mức miễn thuế nhập khẩu.</w:t>
      </w:r>
    </w:p>
    <w:p w14:paraId="0DD48219"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Hàng hoá trong tiêu chuẩn hành lý miễn thuế nhập khẩu.</w:t>
      </w:r>
    </w:p>
    <w:p w14:paraId="2C8FB733"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Hàng hóa nhập khẩu ủng hộ, tài trợ cho phòng, chống, khắc phục hậu quả thảm họa, thiên tai, dịch bệnh, chiến tranh theo quy định của Chính phủ.</w:t>
      </w:r>
    </w:p>
    <w:p w14:paraId="2073E942"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Hàng hóa mua bán, trao đổi qua biên giới để phục vụ cho sản xuất, tiêu dùng của cư dân biên giới thuộc Danh mục hàng hóa mua bán, trao đổi của cư dân biên giới và trong định mức miễn thuế nhập khẩu.</w:t>
      </w:r>
    </w:p>
    <w:p w14:paraId="19C858A1"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Di vật, cổ vật, bảo vật quốc gia theo quy định của pháp luật về di sản văn hóa do cơ quan nhà nước có thẩm quyền nhập khẩu.</w:t>
      </w:r>
    </w:p>
    <w:p w14:paraId="35FCCF30" w14:textId="77777777" w:rsidR="00EE71C5" w:rsidRPr="00EE71C5" w:rsidRDefault="00EE71C5" w:rsidP="00983FB2">
      <w:pPr>
        <w:spacing w:before="120" w:after="120" w:line="360" w:lineRule="auto"/>
        <w:ind w:firstLine="567"/>
        <w:jc w:val="both"/>
        <w:rPr>
          <w:rFonts w:cs="Times New Roman"/>
          <w:i/>
          <w:iCs/>
          <w:sz w:val="24"/>
          <w:szCs w:val="24"/>
        </w:rPr>
      </w:pPr>
      <w:r w:rsidRPr="00EE71C5">
        <w:rPr>
          <w:rFonts w:cs="Times New Roman"/>
          <w:b/>
          <w:bCs/>
          <w:i/>
          <w:iCs/>
          <w:sz w:val="24"/>
          <w:szCs w:val="24"/>
        </w:rPr>
        <w:t>3. Thời điểm xác định thuế giá trị gia tăng</w:t>
      </w:r>
    </w:p>
    <w:p w14:paraId="3EA52ED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Căn cứ Điều 8 </w:t>
      </w:r>
      <w:hyperlink r:id="rId37" w:tgtFrame="_blank" w:history="1">
        <w:r w:rsidRPr="00EE71C5">
          <w:rPr>
            <w:rStyle w:val="Hyperlink"/>
            <w:rFonts w:cs="Times New Roman"/>
            <w:color w:val="auto"/>
            <w:sz w:val="24"/>
            <w:szCs w:val="24"/>
          </w:rPr>
          <w:t>Luật Thuế giá trị gia tăng 2024</w:t>
        </w:r>
      </w:hyperlink>
      <w:r w:rsidRPr="00EE71C5">
        <w:rPr>
          <w:rFonts w:cs="Times New Roman"/>
          <w:sz w:val="24"/>
          <w:szCs w:val="24"/>
        </w:rPr>
        <w:t> (có hiệu lực từ tháng 7/2025), thời điểm xác định thuế giá trị gia tăng được xác định như sau:</w:t>
      </w:r>
    </w:p>
    <w:p w14:paraId="6202D61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 Đối với hàng hóa: Là thời điểm chuyển giao quyền sở hữu hoặc quyền sử dụng hàng hóa cho người mua hoặc thời điểm lập hóa đơn, không phân biệt đã thu được tiền hay chưa thu được tiền.</w:t>
      </w:r>
    </w:p>
    <w:p w14:paraId="21DCA825"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(ii) Đối với dịch vụ: Là thời điểm hoàn thành việc cung cấp dịch vụ hoặc thời điểm lập hóa đơn cung cấp dịch vụ, không phân biệt đã thu được tiền hay chưa thu được tiền.</w:t>
      </w:r>
    </w:p>
    <w:p w14:paraId="292B6138"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b/>
          <w:bCs/>
          <w:sz w:val="24"/>
          <w:szCs w:val="24"/>
        </w:rPr>
        <w:t>Lưu ý:</w:t>
      </w:r>
      <w:r w:rsidRPr="00EE71C5">
        <w:rPr>
          <w:rFonts w:cs="Times New Roman"/>
          <w:sz w:val="24"/>
          <w:szCs w:val="24"/>
        </w:rPr>
        <w:t> Đối với hàng hóa, dịch vụ sau đây thời điểm xác định thuế giá trị gia tăng do Chính phủ quy định:</w:t>
      </w:r>
    </w:p>
    <w:p w14:paraId="003D69A7"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Hàng hóa xuất khẩu, hàng hóa nhập khẩu.</w:t>
      </w:r>
    </w:p>
    <w:p w14:paraId="4F0AEA02"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lastRenderedPageBreak/>
        <w:t>- Dịch vụ viễn thông.</w:t>
      </w:r>
    </w:p>
    <w:p w14:paraId="70C02D5C"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Dịch vụ kinh doanh bảo hiểm.</w:t>
      </w:r>
    </w:p>
    <w:p w14:paraId="17991A76"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Hoạt động cung cấp điện, hoạt động sản xuất điện, nước sạch.</w:t>
      </w:r>
    </w:p>
    <w:p w14:paraId="6798D40B" w14:textId="77777777" w:rsidR="00EE71C5" w:rsidRPr="00EE71C5" w:rsidRDefault="00EE71C5" w:rsidP="00983FB2">
      <w:pPr>
        <w:spacing w:before="120" w:after="120" w:line="360" w:lineRule="auto"/>
        <w:ind w:firstLine="567"/>
        <w:jc w:val="both"/>
        <w:rPr>
          <w:rFonts w:cs="Times New Roman"/>
          <w:sz w:val="24"/>
          <w:szCs w:val="24"/>
        </w:rPr>
      </w:pPr>
      <w:r w:rsidRPr="00EE71C5">
        <w:rPr>
          <w:rFonts w:cs="Times New Roman"/>
          <w:sz w:val="24"/>
          <w:szCs w:val="24"/>
        </w:rPr>
        <w:t>- Hoạt động kinh doanh bất động sản.</w:t>
      </w:r>
    </w:p>
    <w:p w14:paraId="011EBDF8" w14:textId="6EAF0A2E" w:rsidR="00EE71C5" w:rsidRPr="00E41D6E" w:rsidRDefault="00EE71C5" w:rsidP="00983FB2">
      <w:pPr>
        <w:spacing w:before="120" w:after="120" w:line="360" w:lineRule="auto"/>
        <w:ind w:firstLine="567"/>
        <w:jc w:val="both"/>
        <w:rPr>
          <w:rFonts w:cs="Times New Roman"/>
          <w:sz w:val="24"/>
          <w:szCs w:val="24"/>
        </w:rPr>
      </w:pPr>
      <w:r w:rsidRPr="00EE71C5">
        <w:rPr>
          <w:rFonts w:cs="Times New Roman"/>
          <w:sz w:val="24"/>
          <w:szCs w:val="24"/>
        </w:rPr>
        <w:t>- Hoạt động xây dựng, lắp đặt và hoạt động dầu khí.</w:t>
      </w:r>
    </w:p>
    <w:sectPr w:rsidR="00EE71C5" w:rsidRPr="00E41D6E" w:rsidSect="00E41D6E">
      <w:headerReference w:type="default" r:id="rId38"/>
      <w:footerReference w:type="default" r:id="rId39"/>
      <w:pgSz w:w="11906" w:h="16838" w:code="9"/>
      <w:pgMar w:top="1134" w:right="1134" w:bottom="1134" w:left="1701" w:header="426"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972C3" w14:textId="77777777" w:rsidR="005421CD" w:rsidRDefault="005421CD" w:rsidP="00E41D6E">
      <w:pPr>
        <w:spacing w:after="0" w:line="240" w:lineRule="auto"/>
      </w:pPr>
      <w:r>
        <w:separator/>
      </w:r>
    </w:p>
  </w:endnote>
  <w:endnote w:type="continuationSeparator" w:id="0">
    <w:p w14:paraId="10AB2E3B" w14:textId="77777777" w:rsidR="005421CD" w:rsidRDefault="005421CD" w:rsidP="00E4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146475"/>
      <w:docPartObj>
        <w:docPartGallery w:val="Page Numbers (Bottom of Page)"/>
        <w:docPartUnique/>
      </w:docPartObj>
    </w:sdtPr>
    <w:sdtEndPr>
      <w:rPr>
        <w:noProof/>
        <w:sz w:val="24"/>
        <w:szCs w:val="24"/>
      </w:rPr>
    </w:sdtEndPr>
    <w:sdtContent>
      <w:p w14:paraId="31EA80E8" w14:textId="4A81ECBD" w:rsidR="00E41D6E" w:rsidRPr="00E41D6E" w:rsidRDefault="00E41D6E">
        <w:pPr>
          <w:pStyle w:val="Footer"/>
          <w:jc w:val="center"/>
          <w:rPr>
            <w:sz w:val="24"/>
            <w:szCs w:val="24"/>
          </w:rPr>
        </w:pPr>
        <w:r w:rsidRPr="00E41D6E">
          <w:rPr>
            <w:sz w:val="24"/>
            <w:szCs w:val="24"/>
          </w:rPr>
          <w:fldChar w:fldCharType="begin"/>
        </w:r>
        <w:r w:rsidRPr="00E41D6E">
          <w:rPr>
            <w:sz w:val="24"/>
            <w:szCs w:val="24"/>
          </w:rPr>
          <w:instrText xml:space="preserve"> PAGE   \* MERGEFORMAT </w:instrText>
        </w:r>
        <w:r w:rsidRPr="00E41D6E">
          <w:rPr>
            <w:sz w:val="24"/>
            <w:szCs w:val="24"/>
          </w:rPr>
          <w:fldChar w:fldCharType="separate"/>
        </w:r>
        <w:r w:rsidRPr="00E41D6E">
          <w:rPr>
            <w:noProof/>
            <w:sz w:val="24"/>
            <w:szCs w:val="24"/>
          </w:rPr>
          <w:t>2</w:t>
        </w:r>
        <w:r w:rsidRPr="00E41D6E">
          <w:rPr>
            <w:noProof/>
            <w:sz w:val="24"/>
            <w:szCs w:val="24"/>
          </w:rPr>
          <w:fldChar w:fldCharType="end"/>
        </w:r>
      </w:p>
    </w:sdtContent>
  </w:sdt>
  <w:p w14:paraId="2DF719A9" w14:textId="77777777" w:rsidR="00E41D6E" w:rsidRDefault="00E41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801B9" w14:textId="77777777" w:rsidR="005421CD" w:rsidRDefault="005421CD" w:rsidP="00E41D6E">
      <w:pPr>
        <w:spacing w:after="0" w:line="240" w:lineRule="auto"/>
      </w:pPr>
      <w:r>
        <w:separator/>
      </w:r>
    </w:p>
  </w:footnote>
  <w:footnote w:type="continuationSeparator" w:id="0">
    <w:p w14:paraId="2F1BB534" w14:textId="77777777" w:rsidR="005421CD" w:rsidRDefault="005421CD" w:rsidP="00E41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56CC9" w14:textId="11DDD266" w:rsidR="00E41D6E" w:rsidRPr="00E41D6E" w:rsidRDefault="00E41D6E" w:rsidP="00E41D6E">
    <w:pPr>
      <w:pStyle w:val="Header"/>
      <w:pBdr>
        <w:bottom w:val="single" w:sz="6" w:space="1" w:color="auto"/>
      </w:pBdr>
      <w:jc w:val="center"/>
      <w:rPr>
        <w:b/>
        <w:bCs/>
      </w:rPr>
    </w:pPr>
    <w:r w:rsidRPr="00E41D6E">
      <w:rPr>
        <w:b/>
        <w:bCs/>
      </w:rPr>
      <w:t>VIETVALUES – MỘT SỐ ĐIỂM MỚI LUẬTTHUẾ GTGT NĂM 2024</w:t>
    </w:r>
  </w:p>
  <w:p w14:paraId="5262821F" w14:textId="77777777" w:rsidR="00E41D6E" w:rsidRDefault="00E41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5727E"/>
    <w:multiLevelType w:val="multilevel"/>
    <w:tmpl w:val="26FE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4339C"/>
    <w:multiLevelType w:val="multilevel"/>
    <w:tmpl w:val="60B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03A32"/>
    <w:multiLevelType w:val="multilevel"/>
    <w:tmpl w:val="992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750BC"/>
    <w:multiLevelType w:val="hybridMultilevel"/>
    <w:tmpl w:val="AD5E5FC8"/>
    <w:lvl w:ilvl="0" w:tplc="05DA006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3305F"/>
    <w:multiLevelType w:val="hybridMultilevel"/>
    <w:tmpl w:val="B97698C2"/>
    <w:lvl w:ilvl="0" w:tplc="5F1E7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A3995"/>
    <w:multiLevelType w:val="multilevel"/>
    <w:tmpl w:val="853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557E0"/>
    <w:multiLevelType w:val="multilevel"/>
    <w:tmpl w:val="0C46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52785"/>
    <w:multiLevelType w:val="hybridMultilevel"/>
    <w:tmpl w:val="7D14C588"/>
    <w:lvl w:ilvl="0" w:tplc="D444C5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154312">
    <w:abstractNumId w:val="5"/>
  </w:num>
  <w:num w:numId="2" w16cid:durableId="1135414898">
    <w:abstractNumId w:val="2"/>
  </w:num>
  <w:num w:numId="3" w16cid:durableId="1972202852">
    <w:abstractNumId w:val="1"/>
  </w:num>
  <w:num w:numId="4" w16cid:durableId="53937105">
    <w:abstractNumId w:val="0"/>
  </w:num>
  <w:num w:numId="5" w16cid:durableId="199054455">
    <w:abstractNumId w:val="6"/>
  </w:num>
  <w:num w:numId="6" w16cid:durableId="1820804673">
    <w:abstractNumId w:val="7"/>
  </w:num>
  <w:num w:numId="7" w16cid:durableId="360937701">
    <w:abstractNumId w:val="4"/>
  </w:num>
  <w:num w:numId="8" w16cid:durableId="19123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C5"/>
    <w:rsid w:val="00016464"/>
    <w:rsid w:val="005421CD"/>
    <w:rsid w:val="00803570"/>
    <w:rsid w:val="00983FB2"/>
    <w:rsid w:val="009840C4"/>
    <w:rsid w:val="009B0894"/>
    <w:rsid w:val="00C47449"/>
    <w:rsid w:val="00D96379"/>
    <w:rsid w:val="00E41D6E"/>
    <w:rsid w:val="00EE71C5"/>
    <w:rsid w:val="00EF0598"/>
    <w:rsid w:val="00FC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DEF8"/>
  <w15:chartTrackingRefBased/>
  <w15:docId w15:val="{20A66AA7-A6F2-407E-A0BE-ACEE346F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1C5"/>
    <w:rPr>
      <w:color w:val="0563C1" w:themeColor="hyperlink"/>
      <w:u w:val="single"/>
    </w:rPr>
  </w:style>
  <w:style w:type="character" w:styleId="UnresolvedMention">
    <w:name w:val="Unresolved Mention"/>
    <w:basedOn w:val="DefaultParagraphFont"/>
    <w:uiPriority w:val="99"/>
    <w:semiHidden/>
    <w:unhideWhenUsed/>
    <w:rsid w:val="00EE71C5"/>
    <w:rPr>
      <w:color w:val="605E5C"/>
      <w:shd w:val="clear" w:color="auto" w:fill="E1DFDD"/>
    </w:rPr>
  </w:style>
  <w:style w:type="paragraph" w:styleId="ListParagraph">
    <w:name w:val="List Paragraph"/>
    <w:basedOn w:val="Normal"/>
    <w:uiPriority w:val="34"/>
    <w:qFormat/>
    <w:rsid w:val="00EE71C5"/>
    <w:pPr>
      <w:ind w:left="720"/>
      <w:contextualSpacing/>
    </w:pPr>
  </w:style>
  <w:style w:type="paragraph" w:styleId="Header">
    <w:name w:val="header"/>
    <w:basedOn w:val="Normal"/>
    <w:link w:val="HeaderChar"/>
    <w:uiPriority w:val="99"/>
    <w:unhideWhenUsed/>
    <w:rsid w:val="00E41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D6E"/>
  </w:style>
  <w:style w:type="paragraph" w:styleId="Footer">
    <w:name w:val="footer"/>
    <w:basedOn w:val="Normal"/>
    <w:link w:val="FooterChar"/>
    <w:uiPriority w:val="99"/>
    <w:unhideWhenUsed/>
    <w:rsid w:val="00E41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3892">
      <w:bodyDiv w:val="1"/>
      <w:marLeft w:val="0"/>
      <w:marRight w:val="0"/>
      <w:marTop w:val="0"/>
      <w:marBottom w:val="0"/>
      <w:divBdr>
        <w:top w:val="none" w:sz="0" w:space="0" w:color="auto"/>
        <w:left w:val="none" w:sz="0" w:space="0" w:color="auto"/>
        <w:bottom w:val="none" w:sz="0" w:space="0" w:color="auto"/>
        <w:right w:val="none" w:sz="0" w:space="0" w:color="auto"/>
      </w:divBdr>
      <w:divsChild>
        <w:div w:id="898514029">
          <w:marLeft w:val="0"/>
          <w:marRight w:val="0"/>
          <w:marTop w:val="0"/>
          <w:marBottom w:val="120"/>
          <w:divBdr>
            <w:top w:val="none" w:sz="0" w:space="0" w:color="auto"/>
            <w:left w:val="none" w:sz="0" w:space="0" w:color="auto"/>
            <w:bottom w:val="none" w:sz="0" w:space="0" w:color="auto"/>
            <w:right w:val="none" w:sz="0" w:space="0" w:color="auto"/>
          </w:divBdr>
        </w:div>
        <w:div w:id="1791781418">
          <w:marLeft w:val="0"/>
          <w:marRight w:val="0"/>
          <w:marTop w:val="100"/>
          <w:marBottom w:val="100"/>
          <w:divBdr>
            <w:top w:val="single" w:sz="6" w:space="0" w:color="DEE2E6"/>
            <w:left w:val="single" w:sz="6" w:space="0" w:color="DEE2E6"/>
            <w:bottom w:val="single" w:sz="6" w:space="0" w:color="DEE2E6"/>
            <w:right w:val="single" w:sz="6" w:space="0" w:color="DEE2E6"/>
          </w:divBdr>
          <w:divsChild>
            <w:div w:id="732236415">
              <w:marLeft w:val="0"/>
              <w:marRight w:val="0"/>
              <w:marTop w:val="0"/>
              <w:marBottom w:val="0"/>
              <w:divBdr>
                <w:top w:val="none" w:sz="0" w:space="0" w:color="auto"/>
                <w:left w:val="none" w:sz="0" w:space="0" w:color="auto"/>
                <w:bottom w:val="single" w:sz="6" w:space="0" w:color="DEE2E6"/>
                <w:right w:val="none" w:sz="0" w:space="0" w:color="auto"/>
              </w:divBdr>
            </w:div>
          </w:divsChild>
        </w:div>
        <w:div w:id="656147663">
          <w:marLeft w:val="0"/>
          <w:marRight w:val="0"/>
          <w:marTop w:val="0"/>
          <w:marBottom w:val="0"/>
          <w:divBdr>
            <w:top w:val="none" w:sz="0" w:space="0" w:color="auto"/>
            <w:left w:val="none" w:sz="0" w:space="0" w:color="auto"/>
            <w:bottom w:val="none" w:sz="0" w:space="0" w:color="auto"/>
            <w:right w:val="none" w:sz="0" w:space="0" w:color="auto"/>
          </w:divBdr>
        </w:div>
      </w:divsChild>
    </w:div>
    <w:div w:id="136918540">
      <w:bodyDiv w:val="1"/>
      <w:marLeft w:val="0"/>
      <w:marRight w:val="0"/>
      <w:marTop w:val="0"/>
      <w:marBottom w:val="0"/>
      <w:divBdr>
        <w:top w:val="none" w:sz="0" w:space="0" w:color="auto"/>
        <w:left w:val="none" w:sz="0" w:space="0" w:color="auto"/>
        <w:bottom w:val="none" w:sz="0" w:space="0" w:color="auto"/>
        <w:right w:val="none" w:sz="0" w:space="0" w:color="auto"/>
      </w:divBdr>
      <w:divsChild>
        <w:div w:id="1693067258">
          <w:marLeft w:val="0"/>
          <w:marRight w:val="0"/>
          <w:marTop w:val="0"/>
          <w:marBottom w:val="120"/>
          <w:divBdr>
            <w:top w:val="none" w:sz="0" w:space="0" w:color="auto"/>
            <w:left w:val="none" w:sz="0" w:space="0" w:color="auto"/>
            <w:bottom w:val="none" w:sz="0" w:space="0" w:color="auto"/>
            <w:right w:val="none" w:sz="0" w:space="0" w:color="auto"/>
          </w:divBdr>
        </w:div>
        <w:div w:id="409892846">
          <w:marLeft w:val="0"/>
          <w:marRight w:val="0"/>
          <w:marTop w:val="100"/>
          <w:marBottom w:val="100"/>
          <w:divBdr>
            <w:top w:val="single" w:sz="6" w:space="0" w:color="DEE2E6"/>
            <w:left w:val="single" w:sz="6" w:space="0" w:color="DEE2E6"/>
            <w:bottom w:val="single" w:sz="6" w:space="0" w:color="DEE2E6"/>
            <w:right w:val="single" w:sz="6" w:space="0" w:color="DEE2E6"/>
          </w:divBdr>
          <w:divsChild>
            <w:div w:id="1172379897">
              <w:marLeft w:val="0"/>
              <w:marRight w:val="0"/>
              <w:marTop w:val="0"/>
              <w:marBottom w:val="0"/>
              <w:divBdr>
                <w:top w:val="none" w:sz="0" w:space="0" w:color="auto"/>
                <w:left w:val="none" w:sz="0" w:space="0" w:color="auto"/>
                <w:bottom w:val="single" w:sz="6" w:space="0" w:color="DEE2E6"/>
                <w:right w:val="none" w:sz="0" w:space="0" w:color="auto"/>
              </w:divBdr>
            </w:div>
          </w:divsChild>
        </w:div>
        <w:div w:id="488592346">
          <w:blockQuote w:val="1"/>
          <w:marLeft w:val="720"/>
          <w:marRight w:val="720"/>
          <w:marTop w:val="100"/>
          <w:marBottom w:val="100"/>
          <w:divBdr>
            <w:top w:val="none" w:sz="0" w:space="0" w:color="auto"/>
            <w:left w:val="none" w:sz="0" w:space="30" w:color="auto"/>
            <w:bottom w:val="none" w:sz="0" w:space="0" w:color="auto"/>
            <w:right w:val="none" w:sz="0" w:space="0" w:color="auto"/>
          </w:divBdr>
        </w:div>
        <w:div w:id="1978483710">
          <w:marLeft w:val="0"/>
          <w:marRight w:val="0"/>
          <w:marTop w:val="0"/>
          <w:marBottom w:val="0"/>
          <w:divBdr>
            <w:top w:val="none" w:sz="0" w:space="0" w:color="auto"/>
            <w:left w:val="none" w:sz="0" w:space="0" w:color="auto"/>
            <w:bottom w:val="none" w:sz="0" w:space="0" w:color="auto"/>
            <w:right w:val="none" w:sz="0" w:space="0" w:color="auto"/>
          </w:divBdr>
        </w:div>
      </w:divsChild>
    </w:div>
    <w:div w:id="415827422">
      <w:bodyDiv w:val="1"/>
      <w:marLeft w:val="0"/>
      <w:marRight w:val="0"/>
      <w:marTop w:val="0"/>
      <w:marBottom w:val="0"/>
      <w:divBdr>
        <w:top w:val="none" w:sz="0" w:space="0" w:color="auto"/>
        <w:left w:val="none" w:sz="0" w:space="0" w:color="auto"/>
        <w:bottom w:val="none" w:sz="0" w:space="0" w:color="auto"/>
        <w:right w:val="none" w:sz="0" w:space="0" w:color="auto"/>
      </w:divBdr>
      <w:divsChild>
        <w:div w:id="1829513305">
          <w:marLeft w:val="0"/>
          <w:marRight w:val="0"/>
          <w:marTop w:val="0"/>
          <w:marBottom w:val="120"/>
          <w:divBdr>
            <w:top w:val="none" w:sz="0" w:space="0" w:color="auto"/>
            <w:left w:val="none" w:sz="0" w:space="0" w:color="auto"/>
            <w:bottom w:val="none" w:sz="0" w:space="0" w:color="auto"/>
            <w:right w:val="none" w:sz="0" w:space="0" w:color="auto"/>
          </w:divBdr>
        </w:div>
        <w:div w:id="1814447809">
          <w:marLeft w:val="0"/>
          <w:marRight w:val="0"/>
          <w:marTop w:val="100"/>
          <w:marBottom w:val="100"/>
          <w:divBdr>
            <w:top w:val="single" w:sz="6" w:space="0" w:color="DEE2E6"/>
            <w:left w:val="single" w:sz="6" w:space="0" w:color="DEE2E6"/>
            <w:bottom w:val="single" w:sz="6" w:space="0" w:color="DEE2E6"/>
            <w:right w:val="single" w:sz="6" w:space="0" w:color="DEE2E6"/>
          </w:divBdr>
          <w:divsChild>
            <w:div w:id="2059892708">
              <w:marLeft w:val="0"/>
              <w:marRight w:val="0"/>
              <w:marTop w:val="0"/>
              <w:marBottom w:val="0"/>
              <w:divBdr>
                <w:top w:val="none" w:sz="0" w:space="0" w:color="auto"/>
                <w:left w:val="none" w:sz="0" w:space="0" w:color="auto"/>
                <w:bottom w:val="single" w:sz="6" w:space="0" w:color="DEE2E6"/>
                <w:right w:val="none" w:sz="0" w:space="0" w:color="auto"/>
              </w:divBdr>
            </w:div>
          </w:divsChild>
        </w:div>
        <w:div w:id="58866317">
          <w:blockQuote w:val="1"/>
          <w:marLeft w:val="720"/>
          <w:marRight w:val="720"/>
          <w:marTop w:val="100"/>
          <w:marBottom w:val="100"/>
          <w:divBdr>
            <w:top w:val="none" w:sz="0" w:space="0" w:color="auto"/>
            <w:left w:val="none" w:sz="0" w:space="30" w:color="auto"/>
            <w:bottom w:val="none" w:sz="0" w:space="0" w:color="auto"/>
            <w:right w:val="none" w:sz="0" w:space="0" w:color="auto"/>
          </w:divBdr>
        </w:div>
        <w:div w:id="1416705419">
          <w:blockQuote w:val="1"/>
          <w:marLeft w:val="720"/>
          <w:marRight w:val="720"/>
          <w:marTop w:val="100"/>
          <w:marBottom w:val="100"/>
          <w:divBdr>
            <w:top w:val="none" w:sz="0" w:space="0" w:color="auto"/>
            <w:left w:val="none" w:sz="0" w:space="30" w:color="auto"/>
            <w:bottom w:val="none" w:sz="0" w:space="0" w:color="auto"/>
            <w:right w:val="none" w:sz="0" w:space="0" w:color="auto"/>
          </w:divBdr>
        </w:div>
        <w:div w:id="1339697576">
          <w:marLeft w:val="0"/>
          <w:marRight w:val="0"/>
          <w:marTop w:val="0"/>
          <w:marBottom w:val="0"/>
          <w:divBdr>
            <w:top w:val="none" w:sz="0" w:space="0" w:color="auto"/>
            <w:left w:val="none" w:sz="0" w:space="0" w:color="auto"/>
            <w:bottom w:val="none" w:sz="0" w:space="0" w:color="auto"/>
            <w:right w:val="none" w:sz="0" w:space="0" w:color="auto"/>
          </w:divBdr>
        </w:div>
      </w:divsChild>
    </w:div>
    <w:div w:id="741029453">
      <w:bodyDiv w:val="1"/>
      <w:marLeft w:val="0"/>
      <w:marRight w:val="0"/>
      <w:marTop w:val="0"/>
      <w:marBottom w:val="0"/>
      <w:divBdr>
        <w:top w:val="none" w:sz="0" w:space="0" w:color="auto"/>
        <w:left w:val="none" w:sz="0" w:space="0" w:color="auto"/>
        <w:bottom w:val="none" w:sz="0" w:space="0" w:color="auto"/>
        <w:right w:val="none" w:sz="0" w:space="0" w:color="auto"/>
      </w:divBdr>
      <w:divsChild>
        <w:div w:id="686635517">
          <w:marLeft w:val="0"/>
          <w:marRight w:val="0"/>
          <w:marTop w:val="0"/>
          <w:marBottom w:val="120"/>
          <w:divBdr>
            <w:top w:val="none" w:sz="0" w:space="0" w:color="auto"/>
            <w:left w:val="none" w:sz="0" w:space="0" w:color="auto"/>
            <w:bottom w:val="none" w:sz="0" w:space="0" w:color="auto"/>
            <w:right w:val="none" w:sz="0" w:space="0" w:color="auto"/>
          </w:divBdr>
        </w:div>
        <w:div w:id="1936131485">
          <w:marLeft w:val="0"/>
          <w:marRight w:val="0"/>
          <w:marTop w:val="100"/>
          <w:marBottom w:val="100"/>
          <w:divBdr>
            <w:top w:val="single" w:sz="6" w:space="0" w:color="DEE2E6"/>
            <w:left w:val="single" w:sz="6" w:space="0" w:color="DEE2E6"/>
            <w:bottom w:val="single" w:sz="6" w:space="0" w:color="DEE2E6"/>
            <w:right w:val="single" w:sz="6" w:space="0" w:color="DEE2E6"/>
          </w:divBdr>
          <w:divsChild>
            <w:div w:id="779111135">
              <w:marLeft w:val="0"/>
              <w:marRight w:val="0"/>
              <w:marTop w:val="0"/>
              <w:marBottom w:val="0"/>
              <w:divBdr>
                <w:top w:val="none" w:sz="0" w:space="0" w:color="auto"/>
                <w:left w:val="none" w:sz="0" w:space="0" w:color="auto"/>
                <w:bottom w:val="single" w:sz="6" w:space="0" w:color="DEE2E6"/>
                <w:right w:val="none" w:sz="0" w:space="0" w:color="auto"/>
              </w:divBdr>
            </w:div>
          </w:divsChild>
        </w:div>
        <w:div w:id="1781872531">
          <w:blockQuote w:val="1"/>
          <w:marLeft w:val="720"/>
          <w:marRight w:val="720"/>
          <w:marTop w:val="100"/>
          <w:marBottom w:val="100"/>
          <w:divBdr>
            <w:top w:val="none" w:sz="0" w:space="0" w:color="auto"/>
            <w:left w:val="none" w:sz="0" w:space="30" w:color="auto"/>
            <w:bottom w:val="none" w:sz="0" w:space="0" w:color="auto"/>
            <w:right w:val="none" w:sz="0" w:space="0" w:color="auto"/>
          </w:divBdr>
        </w:div>
        <w:div w:id="608271997">
          <w:marLeft w:val="0"/>
          <w:marRight w:val="0"/>
          <w:marTop w:val="0"/>
          <w:marBottom w:val="0"/>
          <w:divBdr>
            <w:top w:val="none" w:sz="0" w:space="0" w:color="auto"/>
            <w:left w:val="none" w:sz="0" w:space="0" w:color="auto"/>
            <w:bottom w:val="none" w:sz="0" w:space="0" w:color="auto"/>
            <w:right w:val="none" w:sz="0" w:space="0" w:color="auto"/>
          </w:divBdr>
        </w:div>
      </w:divsChild>
    </w:div>
    <w:div w:id="118721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837">
          <w:marLeft w:val="0"/>
          <w:marRight w:val="0"/>
          <w:marTop w:val="0"/>
          <w:marBottom w:val="120"/>
          <w:divBdr>
            <w:top w:val="none" w:sz="0" w:space="0" w:color="auto"/>
            <w:left w:val="none" w:sz="0" w:space="0" w:color="auto"/>
            <w:bottom w:val="none" w:sz="0" w:space="0" w:color="auto"/>
            <w:right w:val="none" w:sz="0" w:space="0" w:color="auto"/>
          </w:divBdr>
        </w:div>
        <w:div w:id="1054427176">
          <w:marLeft w:val="0"/>
          <w:marRight w:val="0"/>
          <w:marTop w:val="100"/>
          <w:marBottom w:val="100"/>
          <w:divBdr>
            <w:top w:val="single" w:sz="6" w:space="0" w:color="DEE2E6"/>
            <w:left w:val="single" w:sz="6" w:space="0" w:color="DEE2E6"/>
            <w:bottom w:val="single" w:sz="6" w:space="0" w:color="DEE2E6"/>
            <w:right w:val="single" w:sz="6" w:space="0" w:color="DEE2E6"/>
          </w:divBdr>
          <w:divsChild>
            <w:div w:id="1672486390">
              <w:marLeft w:val="0"/>
              <w:marRight w:val="0"/>
              <w:marTop w:val="0"/>
              <w:marBottom w:val="0"/>
              <w:divBdr>
                <w:top w:val="none" w:sz="0" w:space="0" w:color="auto"/>
                <w:left w:val="none" w:sz="0" w:space="0" w:color="auto"/>
                <w:bottom w:val="single" w:sz="6" w:space="0" w:color="DEE2E6"/>
                <w:right w:val="none" w:sz="0" w:space="0" w:color="auto"/>
              </w:divBdr>
            </w:div>
          </w:divsChild>
        </w:div>
        <w:div w:id="969552000">
          <w:blockQuote w:val="1"/>
          <w:marLeft w:val="720"/>
          <w:marRight w:val="720"/>
          <w:marTop w:val="100"/>
          <w:marBottom w:val="100"/>
          <w:divBdr>
            <w:top w:val="none" w:sz="0" w:space="0" w:color="auto"/>
            <w:left w:val="none" w:sz="0" w:space="30" w:color="auto"/>
            <w:bottom w:val="none" w:sz="0" w:space="0" w:color="auto"/>
            <w:right w:val="none" w:sz="0" w:space="0" w:color="auto"/>
          </w:divBdr>
        </w:div>
        <w:div w:id="647512154">
          <w:blockQuote w:val="1"/>
          <w:marLeft w:val="720"/>
          <w:marRight w:val="720"/>
          <w:marTop w:val="100"/>
          <w:marBottom w:val="100"/>
          <w:divBdr>
            <w:top w:val="none" w:sz="0" w:space="0" w:color="auto"/>
            <w:left w:val="none" w:sz="0" w:space="30" w:color="auto"/>
            <w:bottom w:val="none" w:sz="0" w:space="0" w:color="auto"/>
            <w:right w:val="none" w:sz="0" w:space="0" w:color="auto"/>
          </w:divBdr>
        </w:div>
        <w:div w:id="1711606109">
          <w:marLeft w:val="0"/>
          <w:marRight w:val="0"/>
          <w:marTop w:val="0"/>
          <w:marBottom w:val="0"/>
          <w:divBdr>
            <w:top w:val="none" w:sz="0" w:space="0" w:color="auto"/>
            <w:left w:val="none" w:sz="0" w:space="0" w:color="auto"/>
            <w:bottom w:val="none" w:sz="0" w:space="0" w:color="auto"/>
            <w:right w:val="none" w:sz="0" w:space="0" w:color="auto"/>
          </w:divBdr>
        </w:div>
      </w:divsChild>
    </w:div>
    <w:div w:id="1230270308">
      <w:bodyDiv w:val="1"/>
      <w:marLeft w:val="0"/>
      <w:marRight w:val="0"/>
      <w:marTop w:val="0"/>
      <w:marBottom w:val="0"/>
      <w:divBdr>
        <w:top w:val="none" w:sz="0" w:space="0" w:color="auto"/>
        <w:left w:val="none" w:sz="0" w:space="0" w:color="auto"/>
        <w:bottom w:val="none" w:sz="0" w:space="0" w:color="auto"/>
        <w:right w:val="none" w:sz="0" w:space="0" w:color="auto"/>
      </w:divBdr>
      <w:divsChild>
        <w:div w:id="368383855">
          <w:marLeft w:val="0"/>
          <w:marRight w:val="0"/>
          <w:marTop w:val="0"/>
          <w:marBottom w:val="120"/>
          <w:divBdr>
            <w:top w:val="none" w:sz="0" w:space="0" w:color="auto"/>
            <w:left w:val="none" w:sz="0" w:space="0" w:color="auto"/>
            <w:bottom w:val="none" w:sz="0" w:space="0" w:color="auto"/>
            <w:right w:val="none" w:sz="0" w:space="0" w:color="auto"/>
          </w:divBdr>
        </w:div>
        <w:div w:id="683703855">
          <w:marLeft w:val="0"/>
          <w:marRight w:val="0"/>
          <w:marTop w:val="100"/>
          <w:marBottom w:val="100"/>
          <w:divBdr>
            <w:top w:val="single" w:sz="6" w:space="0" w:color="DEE2E6"/>
            <w:left w:val="single" w:sz="6" w:space="0" w:color="DEE2E6"/>
            <w:bottom w:val="single" w:sz="6" w:space="0" w:color="DEE2E6"/>
            <w:right w:val="single" w:sz="6" w:space="0" w:color="DEE2E6"/>
          </w:divBdr>
          <w:divsChild>
            <w:div w:id="356853896">
              <w:marLeft w:val="0"/>
              <w:marRight w:val="0"/>
              <w:marTop w:val="0"/>
              <w:marBottom w:val="0"/>
              <w:divBdr>
                <w:top w:val="none" w:sz="0" w:space="0" w:color="auto"/>
                <w:left w:val="none" w:sz="0" w:space="0" w:color="auto"/>
                <w:bottom w:val="single" w:sz="6" w:space="0" w:color="DEE2E6"/>
                <w:right w:val="none" w:sz="0" w:space="0" w:color="auto"/>
              </w:divBdr>
            </w:div>
          </w:divsChild>
        </w:div>
        <w:div w:id="1845777884">
          <w:marLeft w:val="0"/>
          <w:marRight w:val="0"/>
          <w:marTop w:val="0"/>
          <w:marBottom w:val="0"/>
          <w:divBdr>
            <w:top w:val="none" w:sz="0" w:space="0" w:color="auto"/>
            <w:left w:val="none" w:sz="0" w:space="0" w:color="auto"/>
            <w:bottom w:val="none" w:sz="0" w:space="0" w:color="auto"/>
            <w:right w:val="none" w:sz="0" w:space="0" w:color="auto"/>
          </w:divBdr>
          <w:divsChild>
            <w:div w:id="113254334">
              <w:blockQuote w:val="1"/>
              <w:marLeft w:val="720"/>
              <w:marRight w:val="720"/>
              <w:marTop w:val="100"/>
              <w:marBottom w:val="100"/>
              <w:divBdr>
                <w:top w:val="none" w:sz="0" w:space="0" w:color="auto"/>
                <w:left w:val="none" w:sz="0" w:space="30" w:color="auto"/>
                <w:bottom w:val="none" w:sz="0" w:space="0" w:color="auto"/>
                <w:right w:val="none" w:sz="0" w:space="0" w:color="auto"/>
              </w:divBdr>
            </w:div>
            <w:div w:id="1278639379">
              <w:blockQuote w:val="1"/>
              <w:marLeft w:val="720"/>
              <w:marRight w:val="720"/>
              <w:marTop w:val="100"/>
              <w:marBottom w:val="100"/>
              <w:divBdr>
                <w:top w:val="none" w:sz="0" w:space="0" w:color="auto"/>
                <w:left w:val="none" w:sz="0" w:space="30" w:color="auto"/>
                <w:bottom w:val="none" w:sz="0" w:space="0" w:color="auto"/>
                <w:right w:val="none" w:sz="0" w:space="0" w:color="auto"/>
              </w:divBdr>
            </w:div>
            <w:div w:id="2134058398">
              <w:blockQuote w:val="1"/>
              <w:marLeft w:val="720"/>
              <w:marRight w:val="720"/>
              <w:marTop w:val="100"/>
              <w:marBottom w:val="100"/>
              <w:divBdr>
                <w:top w:val="none" w:sz="0" w:space="0" w:color="auto"/>
                <w:left w:val="none" w:sz="0" w:space="30" w:color="auto"/>
                <w:bottom w:val="none" w:sz="0" w:space="0" w:color="auto"/>
                <w:right w:val="none" w:sz="0" w:space="0" w:color="auto"/>
              </w:divBdr>
            </w:div>
            <w:div w:id="913204149">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sChild>
    </w:div>
    <w:div w:id="1300306359">
      <w:bodyDiv w:val="1"/>
      <w:marLeft w:val="0"/>
      <w:marRight w:val="0"/>
      <w:marTop w:val="0"/>
      <w:marBottom w:val="0"/>
      <w:divBdr>
        <w:top w:val="none" w:sz="0" w:space="0" w:color="auto"/>
        <w:left w:val="none" w:sz="0" w:space="0" w:color="auto"/>
        <w:bottom w:val="none" w:sz="0" w:space="0" w:color="auto"/>
        <w:right w:val="none" w:sz="0" w:space="0" w:color="auto"/>
      </w:divBdr>
      <w:divsChild>
        <w:div w:id="769936861">
          <w:marLeft w:val="0"/>
          <w:marRight w:val="0"/>
          <w:marTop w:val="0"/>
          <w:marBottom w:val="120"/>
          <w:divBdr>
            <w:top w:val="none" w:sz="0" w:space="0" w:color="auto"/>
            <w:left w:val="none" w:sz="0" w:space="0" w:color="auto"/>
            <w:bottom w:val="none" w:sz="0" w:space="0" w:color="auto"/>
            <w:right w:val="none" w:sz="0" w:space="0" w:color="auto"/>
          </w:divBdr>
        </w:div>
        <w:div w:id="354186487">
          <w:marLeft w:val="0"/>
          <w:marRight w:val="0"/>
          <w:marTop w:val="100"/>
          <w:marBottom w:val="100"/>
          <w:divBdr>
            <w:top w:val="single" w:sz="6" w:space="0" w:color="DEE2E6"/>
            <w:left w:val="single" w:sz="6" w:space="0" w:color="DEE2E6"/>
            <w:bottom w:val="single" w:sz="6" w:space="0" w:color="DEE2E6"/>
            <w:right w:val="single" w:sz="6" w:space="0" w:color="DEE2E6"/>
          </w:divBdr>
          <w:divsChild>
            <w:div w:id="683358276">
              <w:marLeft w:val="0"/>
              <w:marRight w:val="0"/>
              <w:marTop w:val="0"/>
              <w:marBottom w:val="0"/>
              <w:divBdr>
                <w:top w:val="none" w:sz="0" w:space="0" w:color="auto"/>
                <w:left w:val="none" w:sz="0" w:space="0" w:color="auto"/>
                <w:bottom w:val="single" w:sz="6" w:space="0" w:color="DEE2E6"/>
                <w:right w:val="none" w:sz="0" w:space="0" w:color="auto"/>
              </w:divBdr>
            </w:div>
          </w:divsChild>
        </w:div>
        <w:div w:id="1319118279">
          <w:blockQuote w:val="1"/>
          <w:marLeft w:val="720"/>
          <w:marRight w:val="720"/>
          <w:marTop w:val="100"/>
          <w:marBottom w:val="100"/>
          <w:divBdr>
            <w:top w:val="none" w:sz="0" w:space="0" w:color="auto"/>
            <w:left w:val="none" w:sz="0" w:space="30" w:color="auto"/>
            <w:bottom w:val="none" w:sz="0" w:space="0" w:color="auto"/>
            <w:right w:val="none" w:sz="0" w:space="0" w:color="auto"/>
          </w:divBdr>
        </w:div>
        <w:div w:id="1804496052">
          <w:marLeft w:val="0"/>
          <w:marRight w:val="0"/>
          <w:marTop w:val="0"/>
          <w:marBottom w:val="0"/>
          <w:divBdr>
            <w:top w:val="none" w:sz="0" w:space="0" w:color="auto"/>
            <w:left w:val="none" w:sz="0" w:space="0" w:color="auto"/>
            <w:bottom w:val="none" w:sz="0" w:space="0" w:color="auto"/>
            <w:right w:val="none" w:sz="0" w:space="0" w:color="auto"/>
          </w:divBdr>
        </w:div>
      </w:divsChild>
    </w:div>
    <w:div w:id="1550221037">
      <w:bodyDiv w:val="1"/>
      <w:marLeft w:val="0"/>
      <w:marRight w:val="0"/>
      <w:marTop w:val="0"/>
      <w:marBottom w:val="0"/>
      <w:divBdr>
        <w:top w:val="none" w:sz="0" w:space="0" w:color="auto"/>
        <w:left w:val="none" w:sz="0" w:space="0" w:color="auto"/>
        <w:bottom w:val="none" w:sz="0" w:space="0" w:color="auto"/>
        <w:right w:val="none" w:sz="0" w:space="0" w:color="auto"/>
      </w:divBdr>
      <w:divsChild>
        <w:div w:id="2075660058">
          <w:marLeft w:val="0"/>
          <w:marRight w:val="0"/>
          <w:marTop w:val="0"/>
          <w:marBottom w:val="120"/>
          <w:divBdr>
            <w:top w:val="none" w:sz="0" w:space="0" w:color="auto"/>
            <w:left w:val="none" w:sz="0" w:space="0" w:color="auto"/>
            <w:bottom w:val="none" w:sz="0" w:space="0" w:color="auto"/>
            <w:right w:val="none" w:sz="0" w:space="0" w:color="auto"/>
          </w:divBdr>
        </w:div>
        <w:div w:id="536888604">
          <w:marLeft w:val="0"/>
          <w:marRight w:val="0"/>
          <w:marTop w:val="100"/>
          <w:marBottom w:val="100"/>
          <w:divBdr>
            <w:top w:val="single" w:sz="6" w:space="0" w:color="DEE2E6"/>
            <w:left w:val="single" w:sz="6" w:space="0" w:color="DEE2E6"/>
            <w:bottom w:val="single" w:sz="6" w:space="0" w:color="DEE2E6"/>
            <w:right w:val="single" w:sz="6" w:space="0" w:color="DEE2E6"/>
          </w:divBdr>
          <w:divsChild>
            <w:div w:id="1695841523">
              <w:marLeft w:val="0"/>
              <w:marRight w:val="0"/>
              <w:marTop w:val="0"/>
              <w:marBottom w:val="0"/>
              <w:divBdr>
                <w:top w:val="none" w:sz="0" w:space="0" w:color="auto"/>
                <w:left w:val="none" w:sz="0" w:space="0" w:color="auto"/>
                <w:bottom w:val="single" w:sz="6" w:space="0" w:color="DEE2E6"/>
                <w:right w:val="none" w:sz="0" w:space="0" w:color="auto"/>
              </w:divBdr>
            </w:div>
          </w:divsChild>
        </w:div>
        <w:div w:id="855119272">
          <w:marLeft w:val="0"/>
          <w:marRight w:val="0"/>
          <w:marTop w:val="0"/>
          <w:marBottom w:val="0"/>
          <w:divBdr>
            <w:top w:val="none" w:sz="0" w:space="0" w:color="auto"/>
            <w:left w:val="none" w:sz="0" w:space="0" w:color="auto"/>
            <w:bottom w:val="none" w:sz="0" w:space="0" w:color="auto"/>
            <w:right w:val="none" w:sz="0" w:space="0" w:color="auto"/>
          </w:divBdr>
        </w:div>
      </w:divsChild>
    </w:div>
    <w:div w:id="1757945335">
      <w:bodyDiv w:val="1"/>
      <w:marLeft w:val="0"/>
      <w:marRight w:val="0"/>
      <w:marTop w:val="0"/>
      <w:marBottom w:val="0"/>
      <w:divBdr>
        <w:top w:val="none" w:sz="0" w:space="0" w:color="auto"/>
        <w:left w:val="none" w:sz="0" w:space="0" w:color="auto"/>
        <w:bottom w:val="none" w:sz="0" w:space="0" w:color="auto"/>
        <w:right w:val="none" w:sz="0" w:space="0" w:color="auto"/>
      </w:divBdr>
      <w:divsChild>
        <w:div w:id="681201480">
          <w:marLeft w:val="0"/>
          <w:marRight w:val="0"/>
          <w:marTop w:val="0"/>
          <w:marBottom w:val="120"/>
          <w:divBdr>
            <w:top w:val="none" w:sz="0" w:space="0" w:color="auto"/>
            <w:left w:val="none" w:sz="0" w:space="0" w:color="auto"/>
            <w:bottom w:val="none" w:sz="0" w:space="0" w:color="auto"/>
            <w:right w:val="none" w:sz="0" w:space="0" w:color="auto"/>
          </w:divBdr>
        </w:div>
        <w:div w:id="711269860">
          <w:marLeft w:val="0"/>
          <w:marRight w:val="0"/>
          <w:marTop w:val="100"/>
          <w:marBottom w:val="100"/>
          <w:divBdr>
            <w:top w:val="single" w:sz="6" w:space="0" w:color="DEE2E6"/>
            <w:left w:val="single" w:sz="6" w:space="0" w:color="DEE2E6"/>
            <w:bottom w:val="single" w:sz="6" w:space="0" w:color="DEE2E6"/>
            <w:right w:val="single" w:sz="6" w:space="0" w:color="DEE2E6"/>
          </w:divBdr>
          <w:divsChild>
            <w:div w:id="305360833">
              <w:marLeft w:val="0"/>
              <w:marRight w:val="0"/>
              <w:marTop w:val="0"/>
              <w:marBottom w:val="0"/>
              <w:divBdr>
                <w:top w:val="none" w:sz="0" w:space="0" w:color="auto"/>
                <w:left w:val="none" w:sz="0" w:space="0" w:color="auto"/>
                <w:bottom w:val="single" w:sz="6" w:space="0" w:color="DEE2E6"/>
                <w:right w:val="none" w:sz="0" w:space="0" w:color="auto"/>
              </w:divBdr>
            </w:div>
          </w:divsChild>
        </w:div>
        <w:div w:id="1431661658">
          <w:blockQuote w:val="1"/>
          <w:marLeft w:val="720"/>
          <w:marRight w:val="720"/>
          <w:marTop w:val="100"/>
          <w:marBottom w:val="100"/>
          <w:divBdr>
            <w:top w:val="none" w:sz="0" w:space="0" w:color="auto"/>
            <w:left w:val="none" w:sz="0" w:space="30" w:color="auto"/>
            <w:bottom w:val="none" w:sz="0" w:space="0" w:color="auto"/>
            <w:right w:val="none" w:sz="0" w:space="0" w:color="auto"/>
          </w:divBdr>
        </w:div>
        <w:div w:id="1667128252">
          <w:marLeft w:val="0"/>
          <w:marRight w:val="0"/>
          <w:marTop w:val="0"/>
          <w:marBottom w:val="0"/>
          <w:divBdr>
            <w:top w:val="none" w:sz="0" w:space="0" w:color="auto"/>
            <w:left w:val="none" w:sz="0" w:space="0" w:color="auto"/>
            <w:bottom w:val="none" w:sz="0" w:space="0" w:color="auto"/>
            <w:right w:val="none" w:sz="0" w:space="0" w:color="auto"/>
          </w:divBdr>
        </w:div>
      </w:divsChild>
    </w:div>
    <w:div w:id="212325593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21">
          <w:marLeft w:val="0"/>
          <w:marRight w:val="0"/>
          <w:marTop w:val="0"/>
          <w:marBottom w:val="120"/>
          <w:divBdr>
            <w:top w:val="none" w:sz="0" w:space="0" w:color="auto"/>
            <w:left w:val="none" w:sz="0" w:space="0" w:color="auto"/>
            <w:bottom w:val="none" w:sz="0" w:space="0" w:color="auto"/>
            <w:right w:val="none" w:sz="0" w:space="0" w:color="auto"/>
          </w:divBdr>
        </w:div>
        <w:div w:id="866605041">
          <w:marLeft w:val="0"/>
          <w:marRight w:val="0"/>
          <w:marTop w:val="100"/>
          <w:marBottom w:val="100"/>
          <w:divBdr>
            <w:top w:val="single" w:sz="6" w:space="0" w:color="DEE2E6"/>
            <w:left w:val="single" w:sz="6" w:space="0" w:color="DEE2E6"/>
            <w:bottom w:val="single" w:sz="6" w:space="0" w:color="DEE2E6"/>
            <w:right w:val="single" w:sz="6" w:space="0" w:color="DEE2E6"/>
          </w:divBdr>
          <w:divsChild>
            <w:div w:id="584338136">
              <w:marLeft w:val="0"/>
              <w:marRight w:val="0"/>
              <w:marTop w:val="0"/>
              <w:marBottom w:val="0"/>
              <w:divBdr>
                <w:top w:val="none" w:sz="0" w:space="0" w:color="auto"/>
                <w:left w:val="none" w:sz="0" w:space="0" w:color="auto"/>
                <w:bottom w:val="single" w:sz="6" w:space="0" w:color="DEE2E6"/>
                <w:right w:val="none" w:sz="0" w:space="0" w:color="auto"/>
              </w:divBdr>
            </w:div>
          </w:divsChild>
        </w:div>
        <w:div w:id="1480801514">
          <w:marLeft w:val="0"/>
          <w:marRight w:val="0"/>
          <w:marTop w:val="0"/>
          <w:marBottom w:val="0"/>
          <w:divBdr>
            <w:top w:val="none" w:sz="0" w:space="0" w:color="auto"/>
            <w:left w:val="none" w:sz="0" w:space="0" w:color="auto"/>
            <w:bottom w:val="none" w:sz="0" w:space="0" w:color="auto"/>
            <w:right w:val="none" w:sz="0" w:space="0" w:color="auto"/>
          </w:divBdr>
          <w:divsChild>
            <w:div w:id="1742370077">
              <w:blockQuote w:val="1"/>
              <w:marLeft w:val="720"/>
              <w:marRight w:val="720"/>
              <w:marTop w:val="100"/>
              <w:marBottom w:val="100"/>
              <w:divBdr>
                <w:top w:val="none" w:sz="0" w:space="0" w:color="auto"/>
                <w:left w:val="none" w:sz="0" w:space="30" w:color="auto"/>
                <w:bottom w:val="none" w:sz="0" w:space="0" w:color="auto"/>
                <w:right w:val="none" w:sz="0" w:space="0" w:color="auto"/>
              </w:divBdr>
            </w:div>
            <w:div w:id="290980266">
              <w:blockQuote w:val="1"/>
              <w:marLeft w:val="720"/>
              <w:marRight w:val="720"/>
              <w:marTop w:val="100"/>
              <w:marBottom w:val="100"/>
              <w:divBdr>
                <w:top w:val="none" w:sz="0" w:space="0" w:color="auto"/>
                <w:left w:val="none" w:sz="0" w:space="30" w:color="auto"/>
                <w:bottom w:val="none" w:sz="0" w:space="0" w:color="auto"/>
                <w:right w:val="none" w:sz="0" w:space="0" w:color="auto"/>
              </w:divBdr>
            </w:div>
            <w:div w:id="1846090802">
              <w:blockQuote w:val="1"/>
              <w:marLeft w:val="720"/>
              <w:marRight w:val="720"/>
              <w:marTop w:val="100"/>
              <w:marBottom w:val="100"/>
              <w:divBdr>
                <w:top w:val="none" w:sz="0" w:space="0" w:color="auto"/>
                <w:left w:val="none" w:sz="0" w:space="30" w:color="auto"/>
                <w:bottom w:val="none" w:sz="0" w:space="0" w:color="auto"/>
                <w:right w:val="none" w:sz="0" w:space="0" w:color="auto"/>
              </w:divBdr>
            </w:div>
            <w:div w:id="714238012">
              <w:blockQuote w:val="1"/>
              <w:marLeft w:val="720"/>
              <w:marRight w:val="720"/>
              <w:marTop w:val="100"/>
              <w:marBottom w:val="100"/>
              <w:divBdr>
                <w:top w:val="none" w:sz="0" w:space="0" w:color="auto"/>
                <w:left w:val="none" w:sz="0" w:space="3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sua-doi-cac-Luat-ve-thue-2014-259208.aspx?anchor=khoan_6" TargetMode="External"/><Relationship Id="rId13" Type="http://schemas.openxmlformats.org/officeDocument/2006/relationships/hyperlink" Target="https://thuvienphapluat.vn/van-ban/Thue-Phi-Le-Phi/Luat-Thue-gia-tri-gia-tang-2024-so-48-2024-QH15-556390.aspx?anchor=dieu_9" TargetMode="External"/><Relationship Id="rId18" Type="http://schemas.openxmlformats.org/officeDocument/2006/relationships/hyperlink" Target="https://thuvienphapluat.vn/van-ban/Thue-Phi-Le-Phi/Luat-Thue-gia-tri-gia-tang-2024-so-48-2024-QH15-556390.aspx?anchor=dieu_5" TargetMode="External"/><Relationship Id="rId26" Type="http://schemas.openxmlformats.org/officeDocument/2006/relationships/hyperlink" Target="https://thuvienphapluat.vn/van-ban/Bo-may-hanh-chinh/Nghi-quyet-174-2024-QH15-Ky-hop-thu-8-Quoc-hoi-khoa-XV-635193.aspx?anchor=muc_1_p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huvienphapluat.vn/van-ban/Thue-Phi-Le-Phi/Luat-Thue-gia-tri-gia-tang-2024-so-48-2024-QH15-556390.aspx?anchor=dieu_14" TargetMode="External"/><Relationship Id="rId34" Type="http://schemas.openxmlformats.org/officeDocument/2006/relationships/hyperlink" Target="https://thuvienphapluat.vn/van-ban/Thue-Phi-Le-Phi/Thong-tu-40-2021-TT-BTC-huong-dan-thue-gia-tri-gia-tang-thue-thu-nhap-ca-nhan-477635.aspx?anchor=dieu_4" TargetMode="External"/><Relationship Id="rId7" Type="http://schemas.openxmlformats.org/officeDocument/2006/relationships/hyperlink" Target="https://thuvienphapluat.vn/van-ban/Thue-Phi-Le-Phi/Luat-thue-gia-tri-gia-tang-2008-13-2008-QH12-66934.aspx?anchor=dieu_5" TargetMode="External"/><Relationship Id="rId12" Type="http://schemas.openxmlformats.org/officeDocument/2006/relationships/hyperlink" Target="https://thuvienphapluat.vn/van-ban/Thue-Phi-Le-Phi/Luat-Thue-gia-tri-gia-tang-2024-so-48-2024-QH15-556390.aspx?anchor=dieu_9" TargetMode="External"/><Relationship Id="rId17" Type="http://schemas.openxmlformats.org/officeDocument/2006/relationships/hyperlink" Target="https://thuvienphapluat.vn/van-ban/Thue-Phi-Le-Phi/Luat-Thue-gia-tri-gia-tang-2024-so-48-2024-QH15-556390.aspx?anchor=dieu_9" TargetMode="External"/><Relationship Id="rId25" Type="http://schemas.openxmlformats.org/officeDocument/2006/relationships/hyperlink" Target="https://thuvienphapluat.vn/van-ban/Thue-Phi-Le-Phi/Luat-Thue-gia-tri-gia-tang-2024-so-48-2024-QH15-556390.aspx?anchor=dieu_14" TargetMode="External"/><Relationship Id="rId33" Type="http://schemas.openxmlformats.org/officeDocument/2006/relationships/hyperlink" Target="https://thuvienphapluat.vn/van-ban/Thue-Phi-Le-Phi/Luat-Thue-gia-tri-gia-tang-2024-so-48-2024-QH15-556390.aspx?anchor=dieu_5"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uvienphapluat.vn/van-ban/Thue-Phi-Le-Phi/Luat-sua-doi-cac-Luat-ve-thue-2014-259208.aspx?anchor=khoan_2_3" TargetMode="External"/><Relationship Id="rId20" Type="http://schemas.openxmlformats.org/officeDocument/2006/relationships/hyperlink" Target="https://thuvienphapluat.vn/van-ban/Thue-Phi-Le-Phi/Luat-thue-gia-tri-gia-tang-2008-13-2008-QH12-66934.aspx?anchor=dieu_12" TargetMode="External"/><Relationship Id="rId29" Type="http://schemas.openxmlformats.org/officeDocument/2006/relationships/hyperlink" Target="https://thuvienphapluat.vn/van-ban/Thue-Phi-Le-Phi/Luat-Thue-gia-tri-gia-tang-2024-so-48-2024-QH15-556390.aspx?anchor=dieu_1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e-Phi-Le-Phi/Luat-sua-doi-cac-Luat-ve-thue-2014-259208.aspx?anchor=khoan_6" TargetMode="External"/><Relationship Id="rId24" Type="http://schemas.openxmlformats.org/officeDocument/2006/relationships/hyperlink" Target="http://thuvienphapluat.vn/van-ban/Thue-Phi-Le-Phi/Luat-Thue-gia-tri-gia-tang-2024-so-48-2024-QH15-556390.aspx" TargetMode="External"/><Relationship Id="rId32" Type="http://schemas.openxmlformats.org/officeDocument/2006/relationships/hyperlink" Target="https://thuvienphapluat.vn/van-ban/Thue-Phi-Le-Phi/Luat-Thue-gia-tri-gia-tang-2024-so-48-2024-QH15-556390.aspx?anchor=dieu_18" TargetMode="External"/><Relationship Id="rId37" Type="http://schemas.openxmlformats.org/officeDocument/2006/relationships/hyperlink" Target="https://thuvienphapluat.vn/van-ban/Thue-Phi-Le-Phi/Luat-Thue-gia-tri-gia-tang-2024-so-48-2024-QH15-556390.aspx?anchor=dieu_8"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vienphapluat.vn/van-ban/Thue-Phi-Le-Phi/Luat-thue-gia-tri-gia-tang-sua-doi-nam-2013-197260.aspx?anchor=khoan_3_1" TargetMode="External"/><Relationship Id="rId23" Type="http://schemas.openxmlformats.org/officeDocument/2006/relationships/hyperlink" Target="https://thuvienphapluat.vn/van-ban/Thue-Phi-Le-Phi/Luat-Thue-gia-tri-gia-tang-2024-so-48-2024-QH15-556390.aspx?anchor=dieu_14" TargetMode="External"/><Relationship Id="rId28" Type="http://schemas.openxmlformats.org/officeDocument/2006/relationships/hyperlink" Target="https://thuvienphapluat.vn/van-ban/Xuat-nhap-khau/Quyet-dinh-78-2010-QD-TTg-muc-gia-tri-hang-hoa-nhap-khau-gui-qua-dich-vu-115145.aspx" TargetMode="External"/><Relationship Id="rId36" Type="http://schemas.openxmlformats.org/officeDocument/2006/relationships/hyperlink" Target="https://thuvienphapluat.vn/van-ban/Thue-Phi-Le-Phi/Luat-Thue-gia-tri-gia-tang-2024-so-48-2024-QH15-556390.aspx?anchor=dieu_5" TargetMode="External"/><Relationship Id="rId10" Type="http://schemas.openxmlformats.org/officeDocument/2006/relationships/hyperlink" Target="https://thuvienphapluat.vn/van-ban/Thue-Phi-Le-Phi/Luat-thue-gia-tri-gia-tang-2008-13-2008-QH12-66934.aspx?anchor=dieu_5" TargetMode="External"/><Relationship Id="rId19" Type="http://schemas.openxmlformats.org/officeDocument/2006/relationships/hyperlink" Target="https://thuvienphapluat.vn/van-ban/Thue-Phi-Le-Phi/Luat-Thue-gia-tri-gia-tang-2024-so-48-2024-QH15-556390.aspx?anchor=dieu_14" TargetMode="External"/><Relationship Id="rId31" Type="http://schemas.openxmlformats.org/officeDocument/2006/relationships/hyperlink" Target="https://thuvienphapluat.vn/van-ban/Thue-Phi-Le-Phi/Luat-Thue-gia-tri-gia-tang-2024-so-48-2024-QH15-556390.aspx?anchor=dieu_5" TargetMode="External"/><Relationship Id="rId4" Type="http://schemas.openxmlformats.org/officeDocument/2006/relationships/webSettings" Target="webSettings.xml"/><Relationship Id="rId9" Type="http://schemas.openxmlformats.org/officeDocument/2006/relationships/hyperlink" Target="https://thuvienphapluat.vn/van-ban/Thue-Phi-Le-Phi/Luat-Thue-gia-tri-gia-tang-2024-so-48-2024-QH15-556390.aspx?anchor=dieu_9" TargetMode="External"/><Relationship Id="rId14" Type="http://schemas.openxmlformats.org/officeDocument/2006/relationships/hyperlink" Target="https://thuvienphapluat.vn/van-ban/Thue-Phi-Le-Phi/Luat-thue-gia-tri-gia-tang-2008-13-2008-QH12-66934.aspx?anchor=dieu_8" TargetMode="External"/><Relationship Id="rId22" Type="http://schemas.openxmlformats.org/officeDocument/2006/relationships/hyperlink" Target="https://thuvienphapluat.vn/van-ban/Thue-Phi-Le-Phi/Luat-Thue-gia-tri-gia-tang-2024-so-48-2024-QH15-556390.aspx" TargetMode="External"/><Relationship Id="rId27" Type="http://schemas.openxmlformats.org/officeDocument/2006/relationships/hyperlink" Target="https://thuvienphapluat.vn/van-ban/Xuat-nhap-khau/Quyet-dinh-78-2010-QD-TTg-muc-gia-tri-hang-hoa-nhap-khau-gui-qua-dich-vu-115145.aspx" TargetMode="External"/><Relationship Id="rId30" Type="http://schemas.openxmlformats.org/officeDocument/2006/relationships/hyperlink" Target="http://thuvienphapluat.vn/van-ban/Thue-Phi-Le-Phi/Luat-Thue-gia-tri-gia-tang-2024-so-48-2024-QH15-556390.aspx" TargetMode="External"/><Relationship Id="rId35" Type="http://schemas.openxmlformats.org/officeDocument/2006/relationships/hyperlink" Target="https://thuvienphapluat.vn/van-ban/Thue-Phi-Le-Phi/Luat-Thue-gia-tri-gia-tang-2024-so-48-2024-QH15-5563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dc:creator>
  <cp:keywords/>
  <dc:description/>
  <cp:lastModifiedBy>Sang Nguyen</cp:lastModifiedBy>
  <cp:revision>1</cp:revision>
  <dcterms:created xsi:type="dcterms:W3CDTF">2024-12-20T08:17:00Z</dcterms:created>
  <dcterms:modified xsi:type="dcterms:W3CDTF">2024-12-20T08:45:00Z</dcterms:modified>
</cp:coreProperties>
</file>